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78"/>
        <w:gridCol w:w="4575"/>
        <w:gridCol w:w="1463"/>
      </w:tblGrid>
      <w:tr w:rsidR="009248D0" w14:paraId="047C9AC2" w14:textId="77777777" w:rsidTr="00DC1C36">
        <w:tc>
          <w:tcPr>
            <w:tcW w:w="2978" w:type="dxa"/>
            <w:shd w:val="clear" w:color="auto" w:fill="D9D9D9" w:themeFill="background1" w:themeFillShade="D9"/>
          </w:tcPr>
          <w:p w14:paraId="3E8A8404" w14:textId="2CE701E6" w:rsidR="009D6FB3" w:rsidRPr="009D6FB3" w:rsidRDefault="009D6FB3">
            <w:pPr>
              <w:rPr>
                <w:rFonts w:ascii="Arial" w:hAnsi="Arial" w:cs="Arial"/>
                <w:b/>
                <w:bCs/>
              </w:rPr>
            </w:pPr>
            <w:r w:rsidRPr="009D6FB3">
              <w:rPr>
                <w:rFonts w:ascii="Arial" w:hAnsi="Arial" w:cs="Arial"/>
                <w:b/>
                <w:bCs/>
              </w:rPr>
              <w:t xml:space="preserve">Section </w:t>
            </w:r>
          </w:p>
        </w:tc>
        <w:tc>
          <w:tcPr>
            <w:tcW w:w="4575" w:type="dxa"/>
            <w:shd w:val="clear" w:color="auto" w:fill="D9D9D9" w:themeFill="background1" w:themeFillShade="D9"/>
          </w:tcPr>
          <w:p w14:paraId="62F758E7" w14:textId="3FBC98CB" w:rsidR="009D6FB3" w:rsidRPr="009D6FB3" w:rsidRDefault="009D6FB3">
            <w:pPr>
              <w:rPr>
                <w:rFonts w:ascii="Arial" w:hAnsi="Arial" w:cs="Arial"/>
                <w:b/>
                <w:bCs/>
              </w:rPr>
            </w:pPr>
            <w:r w:rsidRPr="009D6FB3">
              <w:rPr>
                <w:rFonts w:ascii="Arial" w:hAnsi="Arial" w:cs="Arial"/>
                <w:b/>
                <w:bCs/>
              </w:rPr>
              <w:t xml:space="preserve">Assessment </w:t>
            </w:r>
          </w:p>
        </w:tc>
        <w:tc>
          <w:tcPr>
            <w:tcW w:w="1463" w:type="dxa"/>
            <w:shd w:val="clear" w:color="auto" w:fill="D9D9D9" w:themeFill="background1" w:themeFillShade="D9"/>
          </w:tcPr>
          <w:p w14:paraId="461A92C0" w14:textId="38D9E589" w:rsidR="009D6FB3" w:rsidRPr="009D6FB3" w:rsidRDefault="009D6FB3">
            <w:pPr>
              <w:rPr>
                <w:rFonts w:ascii="Arial" w:hAnsi="Arial" w:cs="Arial"/>
                <w:b/>
                <w:bCs/>
              </w:rPr>
            </w:pPr>
            <w:r w:rsidRPr="009D6FB3">
              <w:rPr>
                <w:rFonts w:ascii="Arial" w:hAnsi="Arial" w:cs="Arial"/>
                <w:b/>
                <w:bCs/>
              </w:rPr>
              <w:t xml:space="preserve">Compliance </w:t>
            </w:r>
          </w:p>
        </w:tc>
      </w:tr>
      <w:tr w:rsidR="009248D0" w14:paraId="784FF0E9" w14:textId="77777777" w:rsidTr="00DC1C36">
        <w:tc>
          <w:tcPr>
            <w:tcW w:w="2978" w:type="dxa"/>
          </w:tcPr>
          <w:p w14:paraId="5C83EA71" w14:textId="4BC5CE7C" w:rsidR="009D6FB3" w:rsidRPr="009D6FB3" w:rsidRDefault="009D6FB3" w:rsidP="009D6FB3">
            <w:pPr>
              <w:pStyle w:val="ListParagraph"/>
              <w:numPr>
                <w:ilvl w:val="0"/>
                <w:numId w:val="1"/>
              </w:numPr>
              <w:rPr>
                <w:rFonts w:ascii="Arial" w:hAnsi="Arial" w:cs="Arial"/>
                <w:b/>
                <w:bCs/>
              </w:rPr>
            </w:pPr>
            <w:r w:rsidRPr="009D6FB3">
              <w:rPr>
                <w:rFonts w:ascii="Arial" w:hAnsi="Arial" w:cs="Arial"/>
                <w:b/>
                <w:bCs/>
              </w:rPr>
              <w:t xml:space="preserve">Introduction </w:t>
            </w:r>
          </w:p>
          <w:p w14:paraId="5D8EC4DE" w14:textId="77777777" w:rsidR="009D6FB3" w:rsidRPr="009D6FB3" w:rsidRDefault="009D6FB3" w:rsidP="009D6FB3">
            <w:pPr>
              <w:rPr>
                <w:rFonts w:ascii="Arial" w:hAnsi="Arial" w:cs="Arial"/>
                <w:b/>
                <w:bCs/>
              </w:rPr>
            </w:pPr>
            <w:r w:rsidRPr="009D6FB3">
              <w:rPr>
                <w:rFonts w:ascii="Arial" w:hAnsi="Arial" w:cs="Arial"/>
                <w:b/>
                <w:bCs/>
              </w:rPr>
              <w:t xml:space="preserve">1.2 Notification and Advertising Requirements </w:t>
            </w:r>
          </w:p>
          <w:p w14:paraId="3B49B122" w14:textId="77481A84" w:rsidR="009D6FB3" w:rsidRPr="001D7F85" w:rsidRDefault="009D6FB3" w:rsidP="001D7F85">
            <w:pPr>
              <w:jc w:val="both"/>
              <w:rPr>
                <w:rFonts w:ascii="Arial" w:hAnsi="Arial" w:cs="Arial"/>
                <w:i/>
                <w:iCs/>
                <w:sz w:val="20"/>
                <w:szCs w:val="20"/>
              </w:rPr>
            </w:pPr>
            <w:r w:rsidRPr="009D6FB3">
              <w:rPr>
                <w:rFonts w:ascii="Arial" w:hAnsi="Arial" w:cs="Arial"/>
                <w:i/>
                <w:iCs/>
                <w:sz w:val="20"/>
                <w:szCs w:val="20"/>
              </w:rPr>
              <w:t>This section has been replaced by the </w:t>
            </w:r>
            <w:hyperlink r:id="rId7" w:tgtFrame="_blank" w:history="1">
              <w:r w:rsidRPr="009D6FB3">
                <w:rPr>
                  <w:rStyle w:val="Hyperlink"/>
                  <w:rFonts w:ascii="Arial" w:hAnsi="Arial" w:cs="Arial"/>
                  <w:i/>
                  <w:iCs/>
                  <w:color w:val="auto"/>
                  <w:spacing w:val="12"/>
                  <w:sz w:val="20"/>
                  <w:szCs w:val="20"/>
                  <w:u w:val="none"/>
                </w:rPr>
                <w:t>Camden Community Participation Plan 2021</w:t>
              </w:r>
            </w:hyperlink>
            <w:r w:rsidRPr="009D6FB3">
              <w:rPr>
                <w:rFonts w:ascii="Arial" w:hAnsi="Arial" w:cs="Arial"/>
                <w:i/>
                <w:iCs/>
                <w:sz w:val="20"/>
                <w:szCs w:val="20"/>
              </w:rPr>
              <w:t> (the CPP). Notification and advertising requirements are now listed in Part 3.0 of the CPP.</w:t>
            </w:r>
          </w:p>
        </w:tc>
        <w:tc>
          <w:tcPr>
            <w:tcW w:w="4575" w:type="dxa"/>
          </w:tcPr>
          <w:p w14:paraId="3278462B" w14:textId="77777777" w:rsidR="009D6FB3" w:rsidRPr="00DC1C36" w:rsidRDefault="009D6FB3">
            <w:pPr>
              <w:rPr>
                <w:rFonts w:ascii="Arial" w:hAnsi="Arial" w:cs="Arial"/>
                <w:sz w:val="20"/>
                <w:szCs w:val="20"/>
              </w:rPr>
            </w:pPr>
          </w:p>
          <w:p w14:paraId="717CF6C6" w14:textId="77777777" w:rsidR="009D6FB3" w:rsidRPr="00DC1C36" w:rsidRDefault="009D6FB3">
            <w:pPr>
              <w:rPr>
                <w:rFonts w:ascii="Arial" w:hAnsi="Arial" w:cs="Arial"/>
                <w:sz w:val="20"/>
                <w:szCs w:val="20"/>
              </w:rPr>
            </w:pPr>
          </w:p>
          <w:p w14:paraId="338286CC" w14:textId="77777777" w:rsidR="009D6FB3" w:rsidRPr="00DC1C36" w:rsidRDefault="009D6FB3">
            <w:pPr>
              <w:rPr>
                <w:rFonts w:ascii="Arial" w:hAnsi="Arial" w:cs="Arial"/>
                <w:sz w:val="20"/>
                <w:szCs w:val="20"/>
              </w:rPr>
            </w:pPr>
          </w:p>
          <w:p w14:paraId="151D4916" w14:textId="6ADB39DF" w:rsidR="009D6FB3" w:rsidRPr="00DC1C36" w:rsidRDefault="009D6FB3" w:rsidP="009D6FB3">
            <w:pPr>
              <w:jc w:val="both"/>
              <w:rPr>
                <w:rFonts w:ascii="Arial" w:hAnsi="Arial" w:cs="Arial"/>
                <w:sz w:val="20"/>
                <w:szCs w:val="20"/>
              </w:rPr>
            </w:pPr>
            <w:r w:rsidRPr="00DC1C36">
              <w:rPr>
                <w:rFonts w:ascii="Arial" w:hAnsi="Arial" w:cs="Arial"/>
                <w:sz w:val="20"/>
                <w:szCs w:val="20"/>
              </w:rPr>
              <w:t>The development application was notified in accordance with the requirements of the C</w:t>
            </w:r>
            <w:r w:rsidR="001D7F85">
              <w:rPr>
                <w:rFonts w:ascii="Arial" w:hAnsi="Arial" w:cs="Arial"/>
                <w:sz w:val="20"/>
                <w:szCs w:val="20"/>
              </w:rPr>
              <w:t>C</w:t>
            </w:r>
            <w:r w:rsidRPr="00DC1C36">
              <w:rPr>
                <w:rFonts w:ascii="Arial" w:hAnsi="Arial" w:cs="Arial"/>
                <w:sz w:val="20"/>
                <w:szCs w:val="20"/>
              </w:rPr>
              <w:t xml:space="preserve">PP. No written submissions were received during the assessment of the DA. </w:t>
            </w:r>
          </w:p>
        </w:tc>
        <w:tc>
          <w:tcPr>
            <w:tcW w:w="1463" w:type="dxa"/>
          </w:tcPr>
          <w:p w14:paraId="63852322" w14:textId="77777777" w:rsidR="009D6FB3" w:rsidRPr="005D6673" w:rsidRDefault="009D6FB3" w:rsidP="005D6673">
            <w:pPr>
              <w:jc w:val="center"/>
              <w:rPr>
                <w:rFonts w:ascii="Arial" w:hAnsi="Arial" w:cs="Arial"/>
                <w:sz w:val="20"/>
                <w:szCs w:val="20"/>
              </w:rPr>
            </w:pPr>
          </w:p>
          <w:p w14:paraId="2931A874" w14:textId="77777777" w:rsidR="009D6FB3" w:rsidRPr="005D6673" w:rsidRDefault="009D6FB3" w:rsidP="005D6673">
            <w:pPr>
              <w:jc w:val="center"/>
              <w:rPr>
                <w:rFonts w:ascii="Arial" w:hAnsi="Arial" w:cs="Arial"/>
                <w:sz w:val="20"/>
                <w:szCs w:val="20"/>
              </w:rPr>
            </w:pPr>
          </w:p>
          <w:p w14:paraId="478AED2C" w14:textId="77777777" w:rsidR="009D6FB3" w:rsidRPr="005D6673" w:rsidRDefault="009D6FB3" w:rsidP="005D6673">
            <w:pPr>
              <w:jc w:val="center"/>
              <w:rPr>
                <w:rFonts w:ascii="Arial" w:hAnsi="Arial" w:cs="Arial"/>
                <w:sz w:val="20"/>
                <w:szCs w:val="20"/>
              </w:rPr>
            </w:pPr>
          </w:p>
          <w:p w14:paraId="1F897B67" w14:textId="28721B8B" w:rsidR="009D6FB3" w:rsidRPr="005D6673" w:rsidRDefault="009D6FB3" w:rsidP="005D6673">
            <w:pPr>
              <w:jc w:val="center"/>
              <w:rPr>
                <w:rFonts w:ascii="Arial" w:hAnsi="Arial" w:cs="Arial"/>
                <w:sz w:val="20"/>
                <w:szCs w:val="20"/>
              </w:rPr>
            </w:pPr>
            <w:r w:rsidRPr="005D6673">
              <w:rPr>
                <w:rFonts w:ascii="Arial" w:hAnsi="Arial" w:cs="Arial"/>
                <w:sz w:val="20"/>
                <w:szCs w:val="20"/>
              </w:rPr>
              <w:t>Yes</w:t>
            </w:r>
          </w:p>
        </w:tc>
      </w:tr>
      <w:tr w:rsidR="009248D0" w14:paraId="562E186B" w14:textId="77777777" w:rsidTr="00DC1C36">
        <w:tc>
          <w:tcPr>
            <w:tcW w:w="2978" w:type="dxa"/>
            <w:tcBorders>
              <w:bottom w:val="single" w:sz="4" w:space="0" w:color="FFFFFF" w:themeColor="background1"/>
            </w:tcBorders>
          </w:tcPr>
          <w:p w14:paraId="7BA958F4" w14:textId="77777777" w:rsidR="009D6FB3" w:rsidRPr="009248D0" w:rsidRDefault="009D6FB3" w:rsidP="009248D0">
            <w:pPr>
              <w:jc w:val="both"/>
              <w:rPr>
                <w:rFonts w:ascii="Arial" w:hAnsi="Arial" w:cs="Arial"/>
                <w:b/>
                <w:bCs/>
                <w:i/>
                <w:iCs/>
                <w:sz w:val="20"/>
                <w:szCs w:val="20"/>
              </w:rPr>
            </w:pPr>
            <w:r w:rsidRPr="009248D0">
              <w:rPr>
                <w:rFonts w:ascii="Arial" w:hAnsi="Arial" w:cs="Arial"/>
                <w:b/>
                <w:bCs/>
                <w:i/>
                <w:iCs/>
                <w:sz w:val="20"/>
                <w:szCs w:val="20"/>
              </w:rPr>
              <w:t xml:space="preserve">2.1 Earthworks </w:t>
            </w:r>
          </w:p>
          <w:p w14:paraId="35AD8AF4" w14:textId="4D83A91F" w:rsidR="009D6FB3" w:rsidRPr="00F6090C" w:rsidRDefault="009D6FB3" w:rsidP="00F6090C">
            <w:pPr>
              <w:jc w:val="both"/>
              <w:rPr>
                <w:rFonts w:ascii="Arial" w:hAnsi="Arial" w:cs="Arial"/>
                <w:i/>
                <w:iCs/>
                <w:sz w:val="20"/>
                <w:szCs w:val="20"/>
                <w:lang w:eastAsia="en-AU"/>
              </w:rPr>
            </w:pPr>
            <w:r w:rsidRPr="00F6090C">
              <w:rPr>
                <w:rFonts w:ascii="Arial" w:hAnsi="Arial" w:cs="Arial"/>
                <w:i/>
                <w:iCs/>
                <w:sz w:val="20"/>
                <w:szCs w:val="20"/>
                <w:lang w:eastAsia="en-AU"/>
              </w:rPr>
              <w:t>Subdivision and building work should be designed to respond to the natural topography of the site wherever possible, minimising the extent of cut and fill</w:t>
            </w:r>
            <w:r w:rsidR="00F6090C" w:rsidRPr="00F6090C">
              <w:rPr>
                <w:rFonts w:ascii="Arial" w:hAnsi="Arial" w:cs="Arial"/>
                <w:i/>
                <w:iCs/>
                <w:sz w:val="20"/>
                <w:szCs w:val="20"/>
                <w:lang w:eastAsia="en-AU"/>
              </w:rPr>
              <w:t xml:space="preserve">. </w:t>
            </w:r>
          </w:p>
          <w:p w14:paraId="2DDA1A53" w14:textId="085B2143" w:rsidR="009248D0" w:rsidRPr="009248D0" w:rsidRDefault="009248D0" w:rsidP="009248D0">
            <w:pPr>
              <w:jc w:val="both"/>
              <w:rPr>
                <w:rFonts w:ascii="Arial" w:eastAsia="Times New Roman" w:hAnsi="Arial" w:cs="Arial"/>
                <w:i/>
                <w:iCs/>
                <w:color w:val="2C2E37"/>
                <w:spacing w:val="12"/>
                <w:kern w:val="0"/>
                <w:sz w:val="20"/>
                <w:szCs w:val="20"/>
                <w:lang w:eastAsia="en-AU"/>
                <w14:ligatures w14:val="none"/>
              </w:rPr>
            </w:pPr>
          </w:p>
        </w:tc>
        <w:tc>
          <w:tcPr>
            <w:tcW w:w="4575" w:type="dxa"/>
            <w:tcBorders>
              <w:bottom w:val="single" w:sz="4" w:space="0" w:color="FFFFFF" w:themeColor="background1"/>
            </w:tcBorders>
          </w:tcPr>
          <w:p w14:paraId="1C8185EF" w14:textId="77777777" w:rsidR="009D6FB3" w:rsidRPr="00DC1C36" w:rsidRDefault="009D6FB3" w:rsidP="00F6090C">
            <w:pPr>
              <w:jc w:val="both"/>
              <w:rPr>
                <w:rFonts w:ascii="Arial" w:hAnsi="Arial" w:cs="Arial"/>
                <w:sz w:val="20"/>
                <w:szCs w:val="20"/>
              </w:rPr>
            </w:pPr>
          </w:p>
          <w:p w14:paraId="2330A969" w14:textId="1ECE21AC" w:rsidR="00F6090C" w:rsidRPr="00DC1C36" w:rsidRDefault="00F6090C" w:rsidP="00F6090C">
            <w:pPr>
              <w:jc w:val="both"/>
              <w:rPr>
                <w:rFonts w:ascii="Arial" w:hAnsi="Arial" w:cs="Arial"/>
                <w:sz w:val="20"/>
                <w:szCs w:val="20"/>
              </w:rPr>
            </w:pPr>
            <w:r w:rsidRPr="00DC1C36">
              <w:rPr>
                <w:rFonts w:ascii="Arial" w:hAnsi="Arial" w:cs="Arial"/>
                <w:sz w:val="20"/>
                <w:szCs w:val="20"/>
              </w:rPr>
              <w:t>Earthworks proposed within the development site are sought to accommodate the building footprint only. Standard conditions are recommended in the consent to ensure th</w:t>
            </w:r>
            <w:r w:rsidR="001D7F85">
              <w:rPr>
                <w:rFonts w:ascii="Arial" w:hAnsi="Arial" w:cs="Arial"/>
                <w:sz w:val="20"/>
                <w:szCs w:val="20"/>
              </w:rPr>
              <w:t>at</w:t>
            </w:r>
            <w:r w:rsidRPr="00DC1C36">
              <w:rPr>
                <w:rFonts w:ascii="Arial" w:hAnsi="Arial" w:cs="Arial"/>
                <w:sz w:val="20"/>
                <w:szCs w:val="20"/>
              </w:rPr>
              <w:t xml:space="preserve"> impacts during the construction phase are kept to a minimum. </w:t>
            </w:r>
          </w:p>
        </w:tc>
        <w:tc>
          <w:tcPr>
            <w:tcW w:w="1463" w:type="dxa"/>
            <w:tcBorders>
              <w:bottom w:val="single" w:sz="4" w:space="0" w:color="FFFFFF" w:themeColor="background1"/>
            </w:tcBorders>
          </w:tcPr>
          <w:p w14:paraId="20CB6968" w14:textId="77777777" w:rsidR="009D6FB3" w:rsidRPr="005D6673" w:rsidRDefault="009D6FB3" w:rsidP="005D6673">
            <w:pPr>
              <w:jc w:val="center"/>
              <w:rPr>
                <w:rFonts w:ascii="Arial" w:hAnsi="Arial" w:cs="Arial"/>
                <w:sz w:val="20"/>
                <w:szCs w:val="20"/>
              </w:rPr>
            </w:pPr>
          </w:p>
          <w:p w14:paraId="1CDFF105" w14:textId="38708BBA"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9248D0" w14:paraId="0B2F9DC0" w14:textId="77777777" w:rsidTr="00DC1C36">
        <w:tc>
          <w:tcPr>
            <w:tcW w:w="2978" w:type="dxa"/>
            <w:tcBorders>
              <w:top w:val="single" w:sz="4" w:space="0" w:color="FFFFFF" w:themeColor="background1"/>
              <w:bottom w:val="single" w:sz="4" w:space="0" w:color="FFFFFF" w:themeColor="background1"/>
            </w:tcBorders>
          </w:tcPr>
          <w:p w14:paraId="084EC643" w14:textId="77777777" w:rsidR="009D6FB3" w:rsidRPr="00F6090C" w:rsidRDefault="009D6FB3" w:rsidP="00F6090C">
            <w:pPr>
              <w:jc w:val="both"/>
              <w:rPr>
                <w:rFonts w:ascii="Arial" w:hAnsi="Arial" w:cs="Arial"/>
                <w:i/>
                <w:iCs/>
                <w:sz w:val="20"/>
                <w:szCs w:val="20"/>
                <w:lang w:eastAsia="en-AU"/>
              </w:rPr>
            </w:pPr>
            <w:r w:rsidRPr="00F6090C">
              <w:rPr>
                <w:rFonts w:ascii="Arial" w:hAnsi="Arial" w:cs="Arial"/>
                <w:i/>
                <w:iCs/>
                <w:sz w:val="20"/>
                <w:szCs w:val="20"/>
                <w:lang w:eastAsia="en-AU"/>
              </w:rPr>
              <w:t>Subdivision and building work must be designed to ensure minimal cut and fill is required for its construction phase.</w:t>
            </w:r>
          </w:p>
          <w:p w14:paraId="416BA546" w14:textId="30B1BB15" w:rsidR="009248D0" w:rsidRPr="00F6090C" w:rsidRDefault="009248D0" w:rsidP="00F6090C">
            <w:pPr>
              <w:jc w:val="both"/>
              <w:rPr>
                <w:rFonts w:ascii="Arial" w:hAnsi="Arial" w:cs="Arial"/>
                <w:i/>
                <w:iCs/>
                <w:sz w:val="20"/>
                <w:szCs w:val="20"/>
                <w:lang w:eastAsia="en-AU"/>
              </w:rPr>
            </w:pPr>
          </w:p>
        </w:tc>
        <w:tc>
          <w:tcPr>
            <w:tcW w:w="4575" w:type="dxa"/>
            <w:tcBorders>
              <w:top w:val="single" w:sz="4" w:space="0" w:color="FFFFFF" w:themeColor="background1"/>
              <w:bottom w:val="single" w:sz="4" w:space="0" w:color="FFFFFF" w:themeColor="background1"/>
            </w:tcBorders>
          </w:tcPr>
          <w:p w14:paraId="72901A59" w14:textId="77777777" w:rsidR="009D6FB3" w:rsidRPr="00DC1C36" w:rsidRDefault="00F6090C" w:rsidP="00F6090C">
            <w:pPr>
              <w:jc w:val="both"/>
              <w:rPr>
                <w:rFonts w:ascii="Arial" w:hAnsi="Arial" w:cs="Arial"/>
                <w:sz w:val="20"/>
                <w:szCs w:val="20"/>
              </w:rPr>
            </w:pPr>
            <w:r w:rsidRPr="00DC1C36">
              <w:rPr>
                <w:rFonts w:ascii="Arial" w:hAnsi="Arial" w:cs="Arial"/>
                <w:sz w:val="20"/>
                <w:szCs w:val="20"/>
              </w:rPr>
              <w:t xml:space="preserve">All cut and fill works within the development site are considered appropriate in this instance. Standard conditions are recommended in the consent to ensure the adverse impacts during the construction phase are kept to a minimum. </w:t>
            </w:r>
          </w:p>
          <w:p w14:paraId="59B0578E" w14:textId="0CCAF583" w:rsidR="00F6090C" w:rsidRPr="00DC1C36" w:rsidRDefault="00F6090C" w:rsidP="00F6090C">
            <w:pPr>
              <w:jc w:val="both"/>
              <w:rPr>
                <w:rFonts w:ascii="Arial" w:hAnsi="Arial" w:cs="Arial"/>
                <w:sz w:val="20"/>
                <w:szCs w:val="20"/>
              </w:rPr>
            </w:pPr>
          </w:p>
        </w:tc>
        <w:tc>
          <w:tcPr>
            <w:tcW w:w="1463" w:type="dxa"/>
            <w:tcBorders>
              <w:top w:val="single" w:sz="4" w:space="0" w:color="FFFFFF" w:themeColor="background1"/>
              <w:bottom w:val="single" w:sz="4" w:space="0" w:color="FFFFFF" w:themeColor="background1"/>
            </w:tcBorders>
          </w:tcPr>
          <w:p w14:paraId="5D1BB65B" w14:textId="50AD2ED1" w:rsidR="009D6FB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9248D0" w14:paraId="4524467E" w14:textId="77777777" w:rsidTr="00DC1C36">
        <w:tc>
          <w:tcPr>
            <w:tcW w:w="2978" w:type="dxa"/>
            <w:tcBorders>
              <w:top w:val="single" w:sz="4" w:space="0" w:color="FFFFFF" w:themeColor="background1"/>
            </w:tcBorders>
          </w:tcPr>
          <w:p w14:paraId="3953904F" w14:textId="77777777" w:rsidR="009D6FB3" w:rsidRPr="00F6090C" w:rsidRDefault="009D6FB3" w:rsidP="00F6090C">
            <w:pPr>
              <w:jc w:val="both"/>
              <w:rPr>
                <w:rFonts w:ascii="Arial" w:hAnsi="Arial" w:cs="Arial"/>
                <w:i/>
                <w:iCs/>
                <w:sz w:val="20"/>
                <w:szCs w:val="20"/>
                <w:lang w:eastAsia="en-AU"/>
              </w:rPr>
            </w:pPr>
            <w:r w:rsidRPr="00F6090C">
              <w:rPr>
                <w:rFonts w:ascii="Arial" w:hAnsi="Arial" w:cs="Arial"/>
                <w:i/>
                <w:iCs/>
                <w:sz w:val="20"/>
                <w:szCs w:val="20"/>
                <w:lang w:eastAsia="en-AU"/>
              </w:rPr>
              <w:t>All land forming operations should involve the use of clean fill (also known as Virgin Excavated Natural Material or ‘VENM’). The VENM must also meet the same salinity characteristics of the receiving land. Council may consider alternatives to VENM on merit.</w:t>
            </w:r>
          </w:p>
          <w:p w14:paraId="3CC37650" w14:textId="681C0891" w:rsidR="009248D0" w:rsidRPr="00F6090C" w:rsidRDefault="009248D0" w:rsidP="00F6090C">
            <w:pPr>
              <w:jc w:val="both"/>
              <w:rPr>
                <w:rFonts w:ascii="Arial" w:hAnsi="Arial" w:cs="Arial"/>
                <w:i/>
                <w:iCs/>
                <w:sz w:val="20"/>
                <w:szCs w:val="20"/>
                <w:lang w:eastAsia="en-AU"/>
              </w:rPr>
            </w:pPr>
          </w:p>
        </w:tc>
        <w:tc>
          <w:tcPr>
            <w:tcW w:w="4575" w:type="dxa"/>
            <w:tcBorders>
              <w:top w:val="single" w:sz="4" w:space="0" w:color="FFFFFF" w:themeColor="background1"/>
            </w:tcBorders>
          </w:tcPr>
          <w:p w14:paraId="319EB14E" w14:textId="5D7C4E7F" w:rsidR="009D6FB3" w:rsidRPr="00DC1C36" w:rsidRDefault="00F6090C" w:rsidP="00F6090C">
            <w:pPr>
              <w:jc w:val="both"/>
              <w:rPr>
                <w:rFonts w:ascii="Arial" w:hAnsi="Arial" w:cs="Arial"/>
                <w:sz w:val="20"/>
                <w:szCs w:val="20"/>
              </w:rPr>
            </w:pPr>
            <w:r w:rsidRPr="00DC1C36">
              <w:rPr>
                <w:rFonts w:ascii="Arial" w:hAnsi="Arial" w:cs="Arial"/>
                <w:sz w:val="20"/>
                <w:szCs w:val="20"/>
              </w:rPr>
              <w:t>A standard condition is recommended in the consent, requiring all fill transported on site to be clean fill. Subject to the imposition of this condition, no concerns were raised by Council</w:t>
            </w:r>
            <w:r w:rsidR="001D7F85">
              <w:rPr>
                <w:rFonts w:ascii="Arial" w:hAnsi="Arial" w:cs="Arial"/>
                <w:sz w:val="20"/>
                <w:szCs w:val="20"/>
              </w:rPr>
              <w:t>’</w:t>
            </w:r>
            <w:r w:rsidRPr="00DC1C36">
              <w:rPr>
                <w:rFonts w:ascii="Arial" w:hAnsi="Arial" w:cs="Arial"/>
                <w:sz w:val="20"/>
                <w:szCs w:val="20"/>
              </w:rPr>
              <w:t xml:space="preserve">s Environmental Health Officer. </w:t>
            </w:r>
          </w:p>
        </w:tc>
        <w:tc>
          <w:tcPr>
            <w:tcW w:w="1463" w:type="dxa"/>
            <w:tcBorders>
              <w:top w:val="single" w:sz="4" w:space="0" w:color="FFFFFF" w:themeColor="background1"/>
            </w:tcBorders>
          </w:tcPr>
          <w:p w14:paraId="3004D9CC" w14:textId="1EE9F65F" w:rsidR="009D6FB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9248D0" w14:paraId="736D5B8A" w14:textId="77777777" w:rsidTr="00DC1C36">
        <w:trPr>
          <w:trHeight w:val="275"/>
        </w:trPr>
        <w:tc>
          <w:tcPr>
            <w:tcW w:w="2978" w:type="dxa"/>
            <w:tcBorders>
              <w:bottom w:val="single" w:sz="4" w:space="0" w:color="FFFFFF" w:themeColor="background1"/>
            </w:tcBorders>
          </w:tcPr>
          <w:p w14:paraId="1BB13262" w14:textId="7D1FE67E" w:rsidR="009D6FB3" w:rsidRPr="00C35784" w:rsidRDefault="009D6FB3" w:rsidP="009248D0">
            <w:pPr>
              <w:jc w:val="both"/>
              <w:rPr>
                <w:rFonts w:ascii="Arial" w:hAnsi="Arial" w:cs="Arial"/>
                <w:b/>
                <w:bCs/>
                <w:sz w:val="20"/>
                <w:szCs w:val="20"/>
              </w:rPr>
            </w:pPr>
            <w:r w:rsidRPr="00C35784">
              <w:rPr>
                <w:rFonts w:ascii="Arial" w:hAnsi="Arial" w:cs="Arial"/>
                <w:b/>
                <w:bCs/>
                <w:sz w:val="20"/>
                <w:szCs w:val="20"/>
              </w:rPr>
              <w:t xml:space="preserve">2.2 Salinity Management </w:t>
            </w:r>
          </w:p>
        </w:tc>
        <w:tc>
          <w:tcPr>
            <w:tcW w:w="4575" w:type="dxa"/>
            <w:tcBorders>
              <w:bottom w:val="single" w:sz="4" w:space="0" w:color="FFFFFF" w:themeColor="background1"/>
            </w:tcBorders>
          </w:tcPr>
          <w:p w14:paraId="77E68E93" w14:textId="77777777" w:rsidR="009D6FB3" w:rsidRPr="00DC1C36" w:rsidRDefault="009D6FB3">
            <w:pPr>
              <w:rPr>
                <w:rFonts w:ascii="Arial" w:hAnsi="Arial" w:cs="Arial"/>
                <w:sz w:val="20"/>
                <w:szCs w:val="20"/>
              </w:rPr>
            </w:pPr>
          </w:p>
        </w:tc>
        <w:tc>
          <w:tcPr>
            <w:tcW w:w="1463" w:type="dxa"/>
            <w:tcBorders>
              <w:bottom w:val="single" w:sz="4" w:space="0" w:color="FFFFFF" w:themeColor="background1"/>
            </w:tcBorders>
          </w:tcPr>
          <w:p w14:paraId="62F88759" w14:textId="77777777" w:rsidR="009D6FB3" w:rsidRPr="005D6673" w:rsidRDefault="009D6FB3" w:rsidP="005D6673">
            <w:pPr>
              <w:jc w:val="center"/>
              <w:rPr>
                <w:rFonts w:ascii="Arial" w:hAnsi="Arial" w:cs="Arial"/>
                <w:sz w:val="20"/>
                <w:szCs w:val="20"/>
              </w:rPr>
            </w:pPr>
          </w:p>
        </w:tc>
      </w:tr>
      <w:tr w:rsidR="009248D0" w14:paraId="76C894CE" w14:textId="77777777" w:rsidTr="00DC1C36">
        <w:tc>
          <w:tcPr>
            <w:tcW w:w="2978" w:type="dxa"/>
            <w:tcBorders>
              <w:top w:val="single" w:sz="4" w:space="0" w:color="FFFFFF" w:themeColor="background1"/>
              <w:bottom w:val="single" w:sz="4" w:space="0" w:color="FFFFFF" w:themeColor="background1"/>
            </w:tcBorders>
          </w:tcPr>
          <w:p w14:paraId="3D8DA930" w14:textId="77777777" w:rsidR="009D6FB3" w:rsidRPr="00F6090C" w:rsidRDefault="009D6FB3" w:rsidP="00F6090C">
            <w:pPr>
              <w:jc w:val="both"/>
              <w:rPr>
                <w:rFonts w:ascii="Arial" w:hAnsi="Arial" w:cs="Arial"/>
                <w:i/>
                <w:iCs/>
                <w:sz w:val="20"/>
                <w:szCs w:val="20"/>
                <w:shd w:val="clear" w:color="auto" w:fill="FFFFFF"/>
              </w:rPr>
            </w:pPr>
            <w:r w:rsidRPr="00F6090C">
              <w:rPr>
                <w:rFonts w:ascii="Arial" w:hAnsi="Arial" w:cs="Arial"/>
                <w:i/>
                <w:iCs/>
                <w:sz w:val="20"/>
                <w:szCs w:val="20"/>
                <w:shd w:val="clear" w:color="auto" w:fill="FFFFFF"/>
              </w:rPr>
              <w:t xml:space="preserve">Groundwater recharge is to be minimised. </w:t>
            </w:r>
          </w:p>
          <w:p w14:paraId="455DA0CA" w14:textId="478B70E3" w:rsidR="009248D0" w:rsidRPr="00F6090C" w:rsidRDefault="009248D0" w:rsidP="00F6090C">
            <w:pPr>
              <w:jc w:val="both"/>
              <w:rPr>
                <w:rFonts w:ascii="Arial" w:hAnsi="Arial" w:cs="Arial"/>
                <w:i/>
                <w:iCs/>
                <w:sz w:val="20"/>
                <w:szCs w:val="20"/>
              </w:rPr>
            </w:pPr>
          </w:p>
        </w:tc>
        <w:tc>
          <w:tcPr>
            <w:tcW w:w="4575" w:type="dxa"/>
            <w:tcBorders>
              <w:top w:val="single" w:sz="4" w:space="0" w:color="FFFFFF" w:themeColor="background1"/>
              <w:bottom w:val="single" w:sz="4" w:space="0" w:color="FFFFFF" w:themeColor="background1"/>
            </w:tcBorders>
          </w:tcPr>
          <w:p w14:paraId="38E87F83" w14:textId="25B87785" w:rsidR="009D6FB3" w:rsidRPr="00DC1C36" w:rsidRDefault="00636C3C" w:rsidP="00636C3C">
            <w:pPr>
              <w:jc w:val="both"/>
              <w:rPr>
                <w:rFonts w:ascii="Arial" w:hAnsi="Arial" w:cs="Arial"/>
                <w:sz w:val="20"/>
                <w:szCs w:val="20"/>
              </w:rPr>
            </w:pPr>
            <w:r w:rsidRPr="00DC1C36">
              <w:rPr>
                <w:rFonts w:ascii="Arial" w:hAnsi="Arial" w:cs="Arial"/>
                <w:sz w:val="20"/>
                <w:szCs w:val="20"/>
              </w:rPr>
              <w:t xml:space="preserve">Post development flows will largely be directed towards the on-site detention tanks (OSD) </w:t>
            </w:r>
            <w:proofErr w:type="gramStart"/>
            <w:r w:rsidRPr="00DC1C36">
              <w:rPr>
                <w:rFonts w:ascii="Arial" w:hAnsi="Arial" w:cs="Arial"/>
                <w:sz w:val="20"/>
                <w:szCs w:val="20"/>
              </w:rPr>
              <w:t>with the exception of</w:t>
            </w:r>
            <w:proofErr w:type="gramEnd"/>
            <w:r w:rsidRPr="00DC1C36">
              <w:rPr>
                <w:rFonts w:ascii="Arial" w:hAnsi="Arial" w:cs="Arial"/>
                <w:sz w:val="20"/>
                <w:szCs w:val="20"/>
              </w:rPr>
              <w:t xml:space="preserve"> flows that discharge to the basement pump out system via the driveway. </w:t>
            </w:r>
          </w:p>
          <w:p w14:paraId="33EE2F57" w14:textId="23D4A91E" w:rsidR="00636C3C" w:rsidRPr="00DC1C36" w:rsidRDefault="00636C3C">
            <w:pPr>
              <w:rPr>
                <w:rFonts w:ascii="Arial" w:hAnsi="Arial" w:cs="Arial"/>
                <w:sz w:val="20"/>
                <w:szCs w:val="20"/>
              </w:rPr>
            </w:pPr>
          </w:p>
        </w:tc>
        <w:tc>
          <w:tcPr>
            <w:tcW w:w="1463" w:type="dxa"/>
            <w:tcBorders>
              <w:top w:val="single" w:sz="4" w:space="0" w:color="FFFFFF" w:themeColor="background1"/>
              <w:bottom w:val="single" w:sz="4" w:space="0" w:color="FFFFFF" w:themeColor="background1"/>
            </w:tcBorders>
          </w:tcPr>
          <w:p w14:paraId="539ADACC" w14:textId="109D6A50" w:rsidR="009D6FB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9248D0" w14:paraId="2BD7D5F0" w14:textId="77777777" w:rsidTr="00DC1C36">
        <w:tc>
          <w:tcPr>
            <w:tcW w:w="2978" w:type="dxa"/>
            <w:tcBorders>
              <w:top w:val="single" w:sz="4" w:space="0" w:color="FFFFFF" w:themeColor="background1"/>
              <w:bottom w:val="single" w:sz="4" w:space="0" w:color="FFFFFF" w:themeColor="background1"/>
            </w:tcBorders>
          </w:tcPr>
          <w:p w14:paraId="6E16CD68" w14:textId="77777777" w:rsidR="009D6FB3" w:rsidRPr="00F6090C" w:rsidRDefault="009D6FB3" w:rsidP="00F6090C">
            <w:pPr>
              <w:jc w:val="both"/>
              <w:rPr>
                <w:rFonts w:ascii="Arial" w:hAnsi="Arial" w:cs="Arial"/>
                <w:i/>
                <w:iCs/>
                <w:sz w:val="20"/>
                <w:szCs w:val="20"/>
                <w:shd w:val="clear" w:color="auto" w:fill="FFFFFF"/>
              </w:rPr>
            </w:pPr>
            <w:r w:rsidRPr="00F6090C">
              <w:rPr>
                <w:rFonts w:ascii="Arial" w:hAnsi="Arial" w:cs="Arial"/>
                <w:i/>
                <w:iCs/>
                <w:sz w:val="20"/>
                <w:szCs w:val="20"/>
                <w:shd w:val="clear" w:color="auto" w:fill="FFFFFF"/>
              </w:rPr>
              <w:t>All development, where saline and sodic soils are identified, must incorporate soil conservation measures to minimise soil erosion and siltation during construction and following completion of development. </w:t>
            </w:r>
          </w:p>
          <w:p w14:paraId="035C38C3" w14:textId="562CAEA9" w:rsidR="009248D0" w:rsidRPr="00F6090C" w:rsidRDefault="009248D0" w:rsidP="00F6090C">
            <w:pPr>
              <w:jc w:val="both"/>
              <w:rPr>
                <w:rFonts w:ascii="Arial" w:hAnsi="Arial" w:cs="Arial"/>
                <w:i/>
                <w:iCs/>
                <w:sz w:val="20"/>
                <w:szCs w:val="20"/>
              </w:rPr>
            </w:pPr>
          </w:p>
        </w:tc>
        <w:tc>
          <w:tcPr>
            <w:tcW w:w="4575" w:type="dxa"/>
            <w:tcBorders>
              <w:top w:val="single" w:sz="4" w:space="0" w:color="FFFFFF" w:themeColor="background1"/>
              <w:bottom w:val="single" w:sz="4" w:space="0" w:color="FFFFFF" w:themeColor="background1"/>
            </w:tcBorders>
          </w:tcPr>
          <w:p w14:paraId="3BE7C4AB" w14:textId="27A92195" w:rsidR="001D7F85" w:rsidRDefault="00465615" w:rsidP="00465615">
            <w:pPr>
              <w:jc w:val="both"/>
              <w:rPr>
                <w:rFonts w:ascii="Arial" w:hAnsi="Arial" w:cs="Arial"/>
                <w:sz w:val="20"/>
                <w:szCs w:val="20"/>
              </w:rPr>
            </w:pPr>
            <w:r w:rsidRPr="00465615">
              <w:rPr>
                <w:rFonts w:ascii="Arial" w:hAnsi="Arial" w:cs="Arial"/>
                <w:sz w:val="20"/>
                <w:szCs w:val="20"/>
              </w:rPr>
              <w:t>The DA was accompanied by a Salinity Status Summary, which noted that salinity was assessed during the bulk earthworks stage, which is dated March 2014. It was noted that the investigations as part of this assessment occurred at a depth of 3m (maximum). Given this, Council</w:t>
            </w:r>
            <w:r w:rsidR="00CF1C12">
              <w:rPr>
                <w:rFonts w:ascii="Arial" w:hAnsi="Arial" w:cs="Arial"/>
                <w:sz w:val="20"/>
                <w:szCs w:val="20"/>
              </w:rPr>
              <w:t>’</w:t>
            </w:r>
            <w:r w:rsidRPr="00465615">
              <w:rPr>
                <w:rFonts w:ascii="Arial" w:hAnsi="Arial" w:cs="Arial"/>
                <w:sz w:val="20"/>
                <w:szCs w:val="20"/>
              </w:rPr>
              <w:t xml:space="preserve">s Environmental Health Officer has recommended that further consideration be given to salinity impact and management based on the proposed depth of excavation works required to accommodate the basement levels which is expected to be upwards from 7m (minimum) below existing ground level. </w:t>
            </w:r>
          </w:p>
          <w:p w14:paraId="0C2DE64E" w14:textId="77777777" w:rsidR="001D7F85" w:rsidRDefault="001D7F85" w:rsidP="00465615">
            <w:pPr>
              <w:jc w:val="both"/>
              <w:rPr>
                <w:rFonts w:ascii="Arial" w:hAnsi="Arial" w:cs="Arial"/>
                <w:sz w:val="20"/>
                <w:szCs w:val="20"/>
              </w:rPr>
            </w:pPr>
          </w:p>
          <w:p w14:paraId="1F4981F6" w14:textId="4CFDBE3A" w:rsidR="001D7F85" w:rsidRDefault="00465615" w:rsidP="00465615">
            <w:pPr>
              <w:jc w:val="both"/>
              <w:rPr>
                <w:rFonts w:ascii="Arial" w:hAnsi="Arial" w:cs="Arial"/>
                <w:sz w:val="20"/>
                <w:szCs w:val="20"/>
              </w:rPr>
            </w:pPr>
            <w:r w:rsidRPr="00465615">
              <w:rPr>
                <w:rFonts w:ascii="Arial" w:hAnsi="Arial" w:cs="Arial"/>
                <w:sz w:val="20"/>
                <w:szCs w:val="20"/>
              </w:rPr>
              <w:t xml:space="preserve">As such, a more conservative salinity management report to address a higher level of salinity impact in lieu of additional sampling is recommended. To ensure this is carried out, a </w:t>
            </w:r>
            <w:r w:rsidRPr="00465615">
              <w:rPr>
                <w:rFonts w:ascii="Arial" w:hAnsi="Arial" w:cs="Arial"/>
                <w:sz w:val="20"/>
                <w:szCs w:val="20"/>
              </w:rPr>
              <w:lastRenderedPageBreak/>
              <w:t xml:space="preserve">condition is recommended requiring additional salinity testing of soils to be undertaken, to extend to the depth of the proposed development. </w:t>
            </w:r>
          </w:p>
          <w:p w14:paraId="6C2881A3" w14:textId="77777777" w:rsidR="001D7F85" w:rsidRDefault="001D7F85" w:rsidP="00465615">
            <w:pPr>
              <w:jc w:val="both"/>
              <w:rPr>
                <w:rFonts w:ascii="Arial" w:hAnsi="Arial" w:cs="Arial"/>
                <w:sz w:val="20"/>
                <w:szCs w:val="20"/>
              </w:rPr>
            </w:pPr>
          </w:p>
          <w:p w14:paraId="357436CA" w14:textId="0CD3D96C" w:rsidR="00465615" w:rsidRPr="00465615" w:rsidRDefault="00465615" w:rsidP="00465615">
            <w:pPr>
              <w:jc w:val="both"/>
              <w:rPr>
                <w:rFonts w:ascii="Arial" w:hAnsi="Arial" w:cs="Arial"/>
                <w:sz w:val="20"/>
                <w:szCs w:val="20"/>
              </w:rPr>
            </w:pPr>
            <w:proofErr w:type="gramStart"/>
            <w:r w:rsidRPr="00465615">
              <w:rPr>
                <w:rFonts w:ascii="Arial" w:hAnsi="Arial" w:cs="Arial"/>
                <w:sz w:val="20"/>
                <w:szCs w:val="20"/>
              </w:rPr>
              <w:t>In the event that</w:t>
            </w:r>
            <w:proofErr w:type="gramEnd"/>
            <w:r w:rsidRPr="00465615">
              <w:rPr>
                <w:rFonts w:ascii="Arial" w:hAnsi="Arial" w:cs="Arial"/>
                <w:sz w:val="20"/>
                <w:szCs w:val="20"/>
              </w:rPr>
              <w:t xml:space="preserve"> salinity levels are higher and/or more aggressive than those identified in the approved Salinity Management Plan prepared for Tranche 20 and 29 of Oran Park, the Salinity Management Plan must be amended to address the findings. Further, another condition is also</w:t>
            </w:r>
            <w:r w:rsidR="00CF1C12">
              <w:rPr>
                <w:rFonts w:ascii="Arial" w:hAnsi="Arial" w:cs="Arial"/>
                <w:sz w:val="20"/>
                <w:szCs w:val="20"/>
              </w:rPr>
              <w:t xml:space="preserve"> recommended</w:t>
            </w:r>
            <w:r w:rsidRPr="00465615">
              <w:rPr>
                <w:rFonts w:ascii="Arial" w:hAnsi="Arial" w:cs="Arial"/>
                <w:sz w:val="20"/>
                <w:szCs w:val="20"/>
              </w:rPr>
              <w:t xml:space="preserve"> which requires the appropriate management strategies to be carried out in accordance with the approved Salinity Management Plan. Subject to the imposition of these conditions, no concerns were raised by Council</w:t>
            </w:r>
            <w:r w:rsidR="001D7F85">
              <w:rPr>
                <w:rFonts w:ascii="Arial" w:hAnsi="Arial" w:cs="Arial"/>
                <w:sz w:val="20"/>
                <w:szCs w:val="20"/>
              </w:rPr>
              <w:t>’</w:t>
            </w:r>
            <w:r w:rsidRPr="00465615">
              <w:rPr>
                <w:rFonts w:ascii="Arial" w:hAnsi="Arial" w:cs="Arial"/>
                <w:sz w:val="20"/>
                <w:szCs w:val="20"/>
              </w:rPr>
              <w:t xml:space="preserve">s Environmental Health Officer with regards to salinity management.  </w:t>
            </w:r>
          </w:p>
          <w:p w14:paraId="03FA3BC7" w14:textId="7E7980AC" w:rsidR="009D6FB3" w:rsidRPr="00DC1C36" w:rsidRDefault="009D6FB3">
            <w:pPr>
              <w:rPr>
                <w:rFonts w:ascii="Arial" w:hAnsi="Arial" w:cs="Arial"/>
                <w:sz w:val="20"/>
                <w:szCs w:val="20"/>
              </w:rPr>
            </w:pPr>
          </w:p>
        </w:tc>
        <w:tc>
          <w:tcPr>
            <w:tcW w:w="1463" w:type="dxa"/>
            <w:tcBorders>
              <w:top w:val="single" w:sz="4" w:space="0" w:color="FFFFFF" w:themeColor="background1"/>
              <w:bottom w:val="single" w:sz="4" w:space="0" w:color="FFFFFF" w:themeColor="background1"/>
            </w:tcBorders>
          </w:tcPr>
          <w:p w14:paraId="31D3F7D8" w14:textId="020443B3" w:rsidR="009D6FB3" w:rsidRPr="005D6673" w:rsidRDefault="005D6673" w:rsidP="005D6673">
            <w:pPr>
              <w:jc w:val="center"/>
              <w:rPr>
                <w:rFonts w:ascii="Arial" w:hAnsi="Arial" w:cs="Arial"/>
                <w:sz w:val="20"/>
                <w:szCs w:val="20"/>
              </w:rPr>
            </w:pPr>
            <w:r w:rsidRPr="005D6673">
              <w:rPr>
                <w:rFonts w:ascii="Arial" w:hAnsi="Arial" w:cs="Arial"/>
                <w:sz w:val="20"/>
                <w:szCs w:val="20"/>
              </w:rPr>
              <w:lastRenderedPageBreak/>
              <w:t>Yes</w:t>
            </w:r>
          </w:p>
        </w:tc>
      </w:tr>
      <w:tr w:rsidR="009248D0" w14:paraId="28E36412" w14:textId="77777777" w:rsidTr="00DC1C36">
        <w:tc>
          <w:tcPr>
            <w:tcW w:w="2978" w:type="dxa"/>
            <w:tcBorders>
              <w:top w:val="single" w:sz="4" w:space="0" w:color="FFFFFF" w:themeColor="background1"/>
              <w:bottom w:val="single" w:sz="4" w:space="0" w:color="FFFFFF" w:themeColor="background1"/>
            </w:tcBorders>
          </w:tcPr>
          <w:p w14:paraId="6AFE2AC6" w14:textId="77777777" w:rsidR="009D6FB3" w:rsidRPr="00F6090C" w:rsidRDefault="009D6FB3" w:rsidP="00F6090C">
            <w:pPr>
              <w:jc w:val="both"/>
              <w:rPr>
                <w:rFonts w:ascii="Arial" w:hAnsi="Arial" w:cs="Arial"/>
                <w:i/>
                <w:iCs/>
                <w:sz w:val="20"/>
                <w:szCs w:val="20"/>
                <w:shd w:val="clear" w:color="auto" w:fill="FFFFFF"/>
              </w:rPr>
            </w:pPr>
            <w:r w:rsidRPr="00F6090C">
              <w:rPr>
                <w:rFonts w:ascii="Arial" w:hAnsi="Arial" w:cs="Arial"/>
                <w:i/>
                <w:iCs/>
                <w:sz w:val="20"/>
                <w:szCs w:val="20"/>
                <w:shd w:val="clear" w:color="auto" w:fill="FFFFFF"/>
              </w:rPr>
              <w:t>All sediment and erosion controls are to be installed prior to the commencement of any works and maintained throughout the course of construction until disturbed areas have been revegetated/ established.</w:t>
            </w:r>
          </w:p>
          <w:p w14:paraId="080194BB" w14:textId="286F0F2A" w:rsidR="009248D0" w:rsidRPr="00F6090C" w:rsidRDefault="009248D0" w:rsidP="00F6090C">
            <w:pPr>
              <w:jc w:val="both"/>
              <w:rPr>
                <w:rFonts w:ascii="Arial" w:hAnsi="Arial" w:cs="Arial"/>
                <w:i/>
                <w:iCs/>
                <w:sz w:val="20"/>
                <w:szCs w:val="20"/>
              </w:rPr>
            </w:pPr>
          </w:p>
        </w:tc>
        <w:tc>
          <w:tcPr>
            <w:tcW w:w="4575" w:type="dxa"/>
            <w:tcBorders>
              <w:top w:val="single" w:sz="4" w:space="0" w:color="FFFFFF" w:themeColor="background1"/>
              <w:bottom w:val="single" w:sz="4" w:space="0" w:color="FFFFFF" w:themeColor="background1"/>
            </w:tcBorders>
          </w:tcPr>
          <w:p w14:paraId="3FB38102" w14:textId="7C6D6BF7" w:rsidR="009D6FB3" w:rsidRPr="00DC1C36" w:rsidRDefault="00DC1C36" w:rsidP="005D6673">
            <w:pPr>
              <w:jc w:val="both"/>
              <w:rPr>
                <w:rFonts w:ascii="Arial" w:hAnsi="Arial" w:cs="Arial"/>
                <w:sz w:val="20"/>
                <w:szCs w:val="20"/>
              </w:rPr>
            </w:pPr>
            <w:r w:rsidRPr="00DC1C36">
              <w:rPr>
                <w:rFonts w:ascii="Arial" w:hAnsi="Arial" w:cs="Arial"/>
                <w:sz w:val="20"/>
                <w:szCs w:val="20"/>
              </w:rPr>
              <w:t xml:space="preserve">A standard condition is recommended to ensure ongoing compliance with this control. </w:t>
            </w:r>
          </w:p>
        </w:tc>
        <w:tc>
          <w:tcPr>
            <w:tcW w:w="1463" w:type="dxa"/>
            <w:tcBorders>
              <w:top w:val="single" w:sz="4" w:space="0" w:color="FFFFFF" w:themeColor="background1"/>
              <w:bottom w:val="single" w:sz="4" w:space="0" w:color="FFFFFF" w:themeColor="background1"/>
            </w:tcBorders>
          </w:tcPr>
          <w:p w14:paraId="6468F09B" w14:textId="78A5EC30" w:rsidR="009D6FB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9248D0" w14:paraId="55BF9FB7" w14:textId="77777777" w:rsidTr="00DC1C36">
        <w:tc>
          <w:tcPr>
            <w:tcW w:w="2978" w:type="dxa"/>
            <w:tcBorders>
              <w:top w:val="single" w:sz="4" w:space="0" w:color="FFFFFF" w:themeColor="background1"/>
              <w:bottom w:val="single" w:sz="4" w:space="0" w:color="FFFFFF" w:themeColor="background1"/>
            </w:tcBorders>
          </w:tcPr>
          <w:p w14:paraId="4A2FF12B" w14:textId="77777777" w:rsidR="009248D0" w:rsidRPr="00F6090C" w:rsidRDefault="009D6FB3" w:rsidP="00F6090C">
            <w:pPr>
              <w:jc w:val="both"/>
              <w:rPr>
                <w:rFonts w:ascii="Arial" w:hAnsi="Arial" w:cs="Arial"/>
                <w:i/>
                <w:iCs/>
                <w:sz w:val="20"/>
                <w:szCs w:val="20"/>
                <w:shd w:val="clear" w:color="auto" w:fill="FFFFFF"/>
              </w:rPr>
            </w:pPr>
            <w:r w:rsidRPr="00F6090C">
              <w:rPr>
                <w:rFonts w:ascii="Arial" w:hAnsi="Arial" w:cs="Arial"/>
                <w:i/>
                <w:iCs/>
                <w:sz w:val="20"/>
                <w:szCs w:val="20"/>
                <w:shd w:val="clear" w:color="auto" w:fill="FFFFFF"/>
              </w:rPr>
              <w:t>Where salinity is identified on the site and a salinity report is prepared the report must also contain a Salinity Management Plan having regard to the following issues and construction requirements from Australian Standards.</w:t>
            </w:r>
          </w:p>
          <w:p w14:paraId="75C3BC8C" w14:textId="33BBE43E" w:rsidR="009D6FB3" w:rsidRPr="00F6090C" w:rsidRDefault="009D6FB3" w:rsidP="00F6090C">
            <w:pPr>
              <w:jc w:val="both"/>
              <w:rPr>
                <w:rFonts w:ascii="Arial" w:hAnsi="Arial" w:cs="Arial"/>
                <w:i/>
                <w:iCs/>
                <w:sz w:val="20"/>
                <w:szCs w:val="20"/>
              </w:rPr>
            </w:pPr>
            <w:r w:rsidRPr="00F6090C">
              <w:rPr>
                <w:rFonts w:ascii="Arial" w:hAnsi="Arial" w:cs="Arial"/>
                <w:i/>
                <w:iCs/>
                <w:sz w:val="20"/>
                <w:szCs w:val="20"/>
                <w:shd w:val="clear" w:color="auto" w:fill="FFFFFF"/>
              </w:rPr>
              <w:t xml:space="preserve"> </w:t>
            </w:r>
          </w:p>
        </w:tc>
        <w:tc>
          <w:tcPr>
            <w:tcW w:w="4575" w:type="dxa"/>
            <w:tcBorders>
              <w:top w:val="single" w:sz="4" w:space="0" w:color="FFFFFF" w:themeColor="background1"/>
              <w:bottom w:val="single" w:sz="4" w:space="0" w:color="FFFFFF"/>
            </w:tcBorders>
          </w:tcPr>
          <w:p w14:paraId="71253454" w14:textId="3648ACEC" w:rsidR="009D6FB3" w:rsidRPr="00DC1C36" w:rsidRDefault="00465615" w:rsidP="00465615">
            <w:pPr>
              <w:jc w:val="both"/>
              <w:rPr>
                <w:rFonts w:ascii="Arial" w:hAnsi="Arial" w:cs="Arial"/>
                <w:sz w:val="20"/>
                <w:szCs w:val="20"/>
              </w:rPr>
            </w:pPr>
            <w:r>
              <w:rPr>
                <w:rFonts w:ascii="Arial" w:hAnsi="Arial" w:cs="Arial"/>
                <w:sz w:val="20"/>
                <w:szCs w:val="20"/>
              </w:rPr>
              <w:t xml:space="preserve">As noted above, appropriate conditions are recommended to ensure ongoing compliance with the approved salinity management strategies. </w:t>
            </w:r>
            <w:r w:rsidR="00DC1C36" w:rsidRPr="00DC1C36">
              <w:rPr>
                <w:rFonts w:ascii="Arial" w:hAnsi="Arial" w:cs="Arial"/>
                <w:sz w:val="20"/>
                <w:szCs w:val="20"/>
              </w:rPr>
              <w:t xml:space="preserve"> </w:t>
            </w:r>
          </w:p>
        </w:tc>
        <w:tc>
          <w:tcPr>
            <w:tcW w:w="1463" w:type="dxa"/>
            <w:tcBorders>
              <w:top w:val="single" w:sz="4" w:space="0" w:color="FFFFFF" w:themeColor="background1"/>
              <w:bottom w:val="single" w:sz="4" w:space="0" w:color="FFFFFF"/>
            </w:tcBorders>
          </w:tcPr>
          <w:p w14:paraId="3B5562E4" w14:textId="1062D631" w:rsidR="009D6FB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57FA6B5B" w14:textId="77777777" w:rsidTr="00BB7072">
        <w:tc>
          <w:tcPr>
            <w:tcW w:w="2978" w:type="dxa"/>
          </w:tcPr>
          <w:p w14:paraId="2A552AA4" w14:textId="77777777" w:rsidR="00DC1C36" w:rsidRPr="00DC1C36" w:rsidRDefault="00DC1C36" w:rsidP="00F6090C">
            <w:pPr>
              <w:jc w:val="both"/>
              <w:rPr>
                <w:rFonts w:ascii="Arial" w:hAnsi="Arial" w:cs="Arial"/>
                <w:b/>
                <w:bCs/>
                <w:sz w:val="20"/>
                <w:szCs w:val="20"/>
              </w:rPr>
            </w:pPr>
            <w:r w:rsidRPr="00DC1C36">
              <w:rPr>
                <w:rFonts w:ascii="Arial" w:hAnsi="Arial" w:cs="Arial"/>
                <w:b/>
                <w:bCs/>
                <w:sz w:val="20"/>
                <w:szCs w:val="20"/>
              </w:rPr>
              <w:t xml:space="preserve">2.3 Water Management </w:t>
            </w:r>
          </w:p>
          <w:p w14:paraId="4A476C78" w14:textId="20519EA3" w:rsidR="00DC1C36" w:rsidRPr="00F6090C" w:rsidRDefault="00DC1C36" w:rsidP="00F6090C">
            <w:pPr>
              <w:jc w:val="both"/>
              <w:rPr>
                <w:rFonts w:ascii="Arial" w:eastAsia="Times New Roman" w:hAnsi="Arial" w:cs="Arial"/>
                <w:i/>
                <w:iCs/>
                <w:kern w:val="0"/>
                <w:sz w:val="20"/>
                <w:szCs w:val="20"/>
                <w:lang w:eastAsia="en-AU"/>
                <w14:ligatures w14:val="none"/>
              </w:rPr>
            </w:pPr>
            <w:r w:rsidRPr="00F6090C">
              <w:rPr>
                <w:rFonts w:ascii="Arial" w:eastAsia="Times New Roman" w:hAnsi="Arial" w:cs="Arial"/>
                <w:i/>
                <w:iCs/>
                <w:kern w:val="0"/>
                <w:sz w:val="20"/>
                <w:szCs w:val="20"/>
                <w:lang w:eastAsia="en-AU"/>
                <w14:ligatures w14:val="none"/>
              </w:rPr>
              <w:t xml:space="preserve">All development must demonstrate compliance with the relevant provisions of Council’s Engineering Specifications including requirements for detention, drainage and water sensitive urban design. </w:t>
            </w:r>
          </w:p>
        </w:tc>
        <w:tc>
          <w:tcPr>
            <w:tcW w:w="4575" w:type="dxa"/>
          </w:tcPr>
          <w:p w14:paraId="763F8A82" w14:textId="77777777" w:rsidR="00DC1C36" w:rsidRDefault="00DC1C36">
            <w:pPr>
              <w:rPr>
                <w:rFonts w:ascii="Arial" w:hAnsi="Arial" w:cs="Arial"/>
              </w:rPr>
            </w:pPr>
          </w:p>
          <w:p w14:paraId="31191601" w14:textId="5FC60DF8" w:rsidR="00DC1C36" w:rsidRPr="001D7F85" w:rsidRDefault="00DC1C36" w:rsidP="00DC1C36">
            <w:pPr>
              <w:jc w:val="both"/>
              <w:rPr>
                <w:rFonts w:ascii="Arial" w:hAnsi="Arial" w:cs="Arial"/>
                <w:sz w:val="20"/>
                <w:szCs w:val="20"/>
              </w:rPr>
            </w:pPr>
            <w:r w:rsidRPr="00DC1C36">
              <w:rPr>
                <w:rFonts w:ascii="Arial" w:hAnsi="Arial" w:cs="Arial"/>
                <w:sz w:val="20"/>
                <w:szCs w:val="20"/>
              </w:rPr>
              <w:t>The application was reviewed by Council</w:t>
            </w:r>
            <w:r w:rsidR="0014398E">
              <w:rPr>
                <w:rFonts w:ascii="Arial" w:hAnsi="Arial" w:cs="Arial"/>
                <w:sz w:val="20"/>
                <w:szCs w:val="20"/>
              </w:rPr>
              <w:t>’</w:t>
            </w:r>
            <w:r w:rsidRPr="00DC1C36">
              <w:rPr>
                <w:rFonts w:ascii="Arial" w:hAnsi="Arial" w:cs="Arial"/>
                <w:sz w:val="20"/>
                <w:szCs w:val="20"/>
              </w:rPr>
              <w:t xml:space="preserve">s Engineering </w:t>
            </w:r>
            <w:r w:rsidR="00CF1C12">
              <w:rPr>
                <w:rFonts w:ascii="Arial" w:hAnsi="Arial" w:cs="Arial"/>
                <w:sz w:val="20"/>
                <w:szCs w:val="20"/>
              </w:rPr>
              <w:t>T</w:t>
            </w:r>
            <w:r w:rsidRPr="00DC1C36">
              <w:rPr>
                <w:rFonts w:ascii="Arial" w:hAnsi="Arial" w:cs="Arial"/>
                <w:sz w:val="20"/>
                <w:szCs w:val="20"/>
              </w:rPr>
              <w:t>eam, where it was confirmed that the proposed development has been designed in accordance with Council</w:t>
            </w:r>
            <w:r w:rsidR="0014398E">
              <w:rPr>
                <w:rFonts w:ascii="Arial" w:hAnsi="Arial" w:cs="Arial"/>
                <w:sz w:val="20"/>
                <w:szCs w:val="20"/>
              </w:rPr>
              <w:t>’</w:t>
            </w:r>
            <w:r w:rsidRPr="00DC1C36">
              <w:rPr>
                <w:rFonts w:ascii="Arial" w:hAnsi="Arial" w:cs="Arial"/>
                <w:sz w:val="20"/>
                <w:szCs w:val="20"/>
              </w:rPr>
              <w:t xml:space="preserve">s Engineering Design Specifications and the relevant water quality targets. A standard condition is recommended to ensure ongoing compliance with this control. Subject to the imposition of this control, no concerns were raised by Councils Engineering </w:t>
            </w:r>
            <w:r w:rsidR="00CF1C12">
              <w:rPr>
                <w:rFonts w:ascii="Arial" w:hAnsi="Arial" w:cs="Arial"/>
                <w:sz w:val="20"/>
                <w:szCs w:val="20"/>
              </w:rPr>
              <w:t>T</w:t>
            </w:r>
            <w:r w:rsidRPr="00DC1C36">
              <w:rPr>
                <w:rFonts w:ascii="Arial" w:hAnsi="Arial" w:cs="Arial"/>
                <w:sz w:val="20"/>
                <w:szCs w:val="20"/>
              </w:rPr>
              <w:t xml:space="preserve">eam.  </w:t>
            </w:r>
          </w:p>
        </w:tc>
        <w:tc>
          <w:tcPr>
            <w:tcW w:w="1463" w:type="dxa"/>
          </w:tcPr>
          <w:p w14:paraId="06B65624" w14:textId="77777777" w:rsidR="00DC1C36" w:rsidRPr="005D6673" w:rsidRDefault="00DC1C36" w:rsidP="005D6673">
            <w:pPr>
              <w:jc w:val="center"/>
              <w:rPr>
                <w:rFonts w:ascii="Arial" w:hAnsi="Arial" w:cs="Arial"/>
                <w:sz w:val="20"/>
                <w:szCs w:val="20"/>
              </w:rPr>
            </w:pPr>
          </w:p>
          <w:p w14:paraId="2A6DF91C" w14:textId="3ABFDDCF"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4012DDE3" w14:textId="77777777" w:rsidTr="00BB7072">
        <w:tc>
          <w:tcPr>
            <w:tcW w:w="2978" w:type="dxa"/>
          </w:tcPr>
          <w:p w14:paraId="3EBEFF58" w14:textId="77777777" w:rsidR="00DC1C36" w:rsidRPr="00DC1C36" w:rsidRDefault="00DC1C36" w:rsidP="009248D0">
            <w:pPr>
              <w:jc w:val="both"/>
              <w:rPr>
                <w:rFonts w:ascii="Arial" w:hAnsi="Arial" w:cs="Arial"/>
                <w:b/>
                <w:bCs/>
                <w:sz w:val="20"/>
                <w:szCs w:val="20"/>
              </w:rPr>
            </w:pPr>
            <w:r w:rsidRPr="00DC1C36">
              <w:rPr>
                <w:rFonts w:ascii="Arial" w:hAnsi="Arial" w:cs="Arial"/>
                <w:b/>
                <w:bCs/>
                <w:sz w:val="20"/>
                <w:szCs w:val="20"/>
              </w:rPr>
              <w:t xml:space="preserve">2.4 Trees and Vegetation </w:t>
            </w:r>
          </w:p>
          <w:p w14:paraId="4056ADDB" w14:textId="77777777" w:rsidR="00DC1C36" w:rsidRDefault="00DC1C36" w:rsidP="00DC1C36">
            <w:pPr>
              <w:jc w:val="both"/>
              <w:rPr>
                <w:rFonts w:ascii="Arial" w:hAnsi="Arial" w:cs="Arial"/>
                <w:i/>
                <w:iCs/>
                <w:sz w:val="20"/>
                <w:szCs w:val="20"/>
                <w:shd w:val="clear" w:color="auto" w:fill="FFFFFF"/>
              </w:rPr>
            </w:pPr>
            <w:r w:rsidRPr="00DC1C36">
              <w:rPr>
                <w:rFonts w:ascii="Arial" w:hAnsi="Arial" w:cs="Arial"/>
                <w:i/>
                <w:iCs/>
                <w:sz w:val="20"/>
                <w:szCs w:val="20"/>
                <w:shd w:val="clear" w:color="auto" w:fill="FFFFFF"/>
              </w:rPr>
              <w:t>A person must not cut down, fell, uproot, kill, poison, ringbark, burn or otherwise destroy a tree or vegetation without approval from Council authorising such works.</w:t>
            </w:r>
          </w:p>
          <w:p w14:paraId="443E3BE7" w14:textId="7F3C1357" w:rsidR="00DC1C36" w:rsidRPr="00F6090C" w:rsidRDefault="00DC1C36" w:rsidP="00F6090C">
            <w:pPr>
              <w:jc w:val="both"/>
              <w:rPr>
                <w:rFonts w:ascii="Arial" w:eastAsia="Times New Roman" w:hAnsi="Arial" w:cs="Arial"/>
                <w:i/>
                <w:iCs/>
                <w:kern w:val="0"/>
                <w:sz w:val="20"/>
                <w:szCs w:val="20"/>
                <w:lang w:eastAsia="en-AU"/>
                <w14:ligatures w14:val="none"/>
              </w:rPr>
            </w:pPr>
          </w:p>
        </w:tc>
        <w:tc>
          <w:tcPr>
            <w:tcW w:w="4575" w:type="dxa"/>
          </w:tcPr>
          <w:p w14:paraId="58C1D8DF" w14:textId="77777777" w:rsidR="00DC1C36" w:rsidRPr="00DC1C36" w:rsidRDefault="00DC1C36" w:rsidP="00DC1C36">
            <w:pPr>
              <w:jc w:val="both"/>
              <w:rPr>
                <w:rFonts w:ascii="Arial" w:hAnsi="Arial" w:cs="Arial"/>
                <w:sz w:val="20"/>
                <w:szCs w:val="20"/>
              </w:rPr>
            </w:pPr>
          </w:p>
          <w:p w14:paraId="228CF140" w14:textId="1FA9B67C" w:rsidR="00DC1C36" w:rsidRPr="009D6FB3" w:rsidRDefault="00DC1C36" w:rsidP="00DC1C36">
            <w:pPr>
              <w:jc w:val="both"/>
              <w:rPr>
                <w:rFonts w:ascii="Arial" w:hAnsi="Arial" w:cs="Arial"/>
              </w:rPr>
            </w:pPr>
            <w:r w:rsidRPr="00DC1C36">
              <w:rPr>
                <w:rFonts w:ascii="Arial" w:hAnsi="Arial" w:cs="Arial"/>
                <w:sz w:val="20"/>
                <w:szCs w:val="20"/>
              </w:rPr>
              <w:t>The development site does not contain ay trees or any other significant vegetation. In addition, the development site is bio-certified and therefore the carrying out of earthworks is supported.</w:t>
            </w:r>
            <w:r w:rsidRPr="00DC1C36">
              <w:rPr>
                <w:sz w:val="20"/>
                <w:szCs w:val="20"/>
              </w:rPr>
              <w:t xml:space="preserve"> </w:t>
            </w:r>
          </w:p>
        </w:tc>
        <w:tc>
          <w:tcPr>
            <w:tcW w:w="1463" w:type="dxa"/>
          </w:tcPr>
          <w:p w14:paraId="36A987B9" w14:textId="77777777" w:rsidR="00DC1C36" w:rsidRPr="005D6673" w:rsidRDefault="00DC1C36" w:rsidP="005D6673">
            <w:pPr>
              <w:jc w:val="center"/>
              <w:rPr>
                <w:rFonts w:ascii="Arial" w:hAnsi="Arial" w:cs="Arial"/>
                <w:sz w:val="20"/>
                <w:szCs w:val="20"/>
              </w:rPr>
            </w:pPr>
          </w:p>
          <w:p w14:paraId="140FE00C" w14:textId="6DAD1707"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7FF803F5" w14:textId="77777777" w:rsidTr="00AC29DB">
        <w:tc>
          <w:tcPr>
            <w:tcW w:w="2978" w:type="dxa"/>
            <w:tcBorders>
              <w:bottom w:val="single" w:sz="4" w:space="0" w:color="FFFFFF"/>
            </w:tcBorders>
          </w:tcPr>
          <w:p w14:paraId="4CCA73DC" w14:textId="77777777" w:rsidR="00DC1C36" w:rsidRPr="00DC1C36" w:rsidRDefault="00DC1C36" w:rsidP="00DC1C36">
            <w:pPr>
              <w:jc w:val="both"/>
              <w:rPr>
                <w:rFonts w:ascii="Arial" w:hAnsi="Arial" w:cs="Arial"/>
                <w:b/>
                <w:bCs/>
                <w:sz w:val="20"/>
                <w:szCs w:val="20"/>
              </w:rPr>
            </w:pPr>
            <w:r w:rsidRPr="00DC1C36">
              <w:rPr>
                <w:rFonts w:ascii="Arial" w:hAnsi="Arial" w:cs="Arial"/>
                <w:b/>
                <w:bCs/>
                <w:sz w:val="20"/>
                <w:szCs w:val="20"/>
              </w:rPr>
              <w:t xml:space="preserve">2.12 Acoustic Amenity </w:t>
            </w:r>
          </w:p>
          <w:p w14:paraId="513646D0" w14:textId="0DCB9D56" w:rsidR="00DC1C36" w:rsidRPr="00DC1C36" w:rsidRDefault="00DC1C36" w:rsidP="00DC1C36">
            <w:pPr>
              <w:jc w:val="both"/>
              <w:rPr>
                <w:rFonts w:ascii="Arial" w:hAnsi="Arial" w:cs="Arial"/>
                <w:i/>
                <w:iCs/>
              </w:rPr>
            </w:pPr>
            <w:proofErr w:type="gramStart"/>
            <w:r w:rsidRPr="00DC1C36">
              <w:rPr>
                <w:rFonts w:ascii="Arial" w:hAnsi="Arial" w:cs="Arial"/>
                <w:i/>
                <w:iCs/>
                <w:sz w:val="20"/>
                <w:szCs w:val="20"/>
                <w:shd w:val="clear" w:color="auto" w:fill="FFFFFF"/>
              </w:rPr>
              <w:t>Acoustic reports (where required),</w:t>
            </w:r>
            <w:proofErr w:type="gramEnd"/>
            <w:r w:rsidRPr="00DC1C36">
              <w:rPr>
                <w:rFonts w:ascii="Arial" w:hAnsi="Arial" w:cs="Arial"/>
                <w:i/>
                <w:iCs/>
                <w:sz w:val="20"/>
                <w:szCs w:val="20"/>
                <w:shd w:val="clear" w:color="auto" w:fill="FFFFFF"/>
              </w:rPr>
              <w:t xml:space="preserve"> must be prepared by a suitably qualified consultant. </w:t>
            </w:r>
          </w:p>
        </w:tc>
        <w:tc>
          <w:tcPr>
            <w:tcW w:w="4575" w:type="dxa"/>
            <w:tcBorders>
              <w:bottom w:val="single" w:sz="4" w:space="0" w:color="FFFFFF"/>
            </w:tcBorders>
          </w:tcPr>
          <w:p w14:paraId="34A94301" w14:textId="77777777" w:rsidR="00DC1C36" w:rsidRDefault="00DC1C36" w:rsidP="00DC1C36">
            <w:pPr>
              <w:jc w:val="both"/>
            </w:pPr>
          </w:p>
          <w:p w14:paraId="0B248A8B" w14:textId="77777777" w:rsidR="00AC29DB" w:rsidRPr="00AC29DB" w:rsidRDefault="00DC1C36" w:rsidP="00DC1C36">
            <w:pPr>
              <w:jc w:val="both"/>
              <w:rPr>
                <w:rFonts w:ascii="Arial" w:hAnsi="Arial" w:cs="Arial"/>
                <w:sz w:val="20"/>
                <w:szCs w:val="20"/>
              </w:rPr>
            </w:pPr>
            <w:r w:rsidRPr="00AC29DB">
              <w:rPr>
                <w:rFonts w:ascii="Arial" w:hAnsi="Arial" w:cs="Arial"/>
                <w:sz w:val="20"/>
                <w:szCs w:val="20"/>
              </w:rPr>
              <w:t xml:space="preserve">The DA was accompanied by an Acoustic Report, which considered external traffic noise, external plant equipment (such as air conditioning units) and the adverse impacts to private open space </w:t>
            </w:r>
            <w:r w:rsidRPr="00AC29DB">
              <w:rPr>
                <w:rFonts w:ascii="Arial" w:hAnsi="Arial" w:cs="Arial"/>
                <w:sz w:val="20"/>
                <w:szCs w:val="20"/>
              </w:rPr>
              <w:lastRenderedPageBreak/>
              <w:t xml:space="preserve">areas (i.e balconies). </w:t>
            </w:r>
            <w:r w:rsidR="00AC29DB" w:rsidRPr="00AC29DB">
              <w:rPr>
                <w:rFonts w:ascii="Arial" w:hAnsi="Arial" w:cs="Arial"/>
                <w:sz w:val="20"/>
                <w:szCs w:val="20"/>
              </w:rPr>
              <w:t xml:space="preserve">The assessment raised no concerns by Councils Environmental Health Officer, subject to the imposition of recommended conditions of consent. </w:t>
            </w:r>
          </w:p>
          <w:p w14:paraId="2A478A8E" w14:textId="2DD2CD8E" w:rsidR="00DC1C36" w:rsidRPr="009D6FB3" w:rsidRDefault="00DC1C36" w:rsidP="00DC1C36">
            <w:pPr>
              <w:jc w:val="both"/>
            </w:pPr>
            <w:r>
              <w:t xml:space="preserve"> </w:t>
            </w:r>
          </w:p>
        </w:tc>
        <w:tc>
          <w:tcPr>
            <w:tcW w:w="1463" w:type="dxa"/>
            <w:tcBorders>
              <w:bottom w:val="single" w:sz="4" w:space="0" w:color="FFFFFF"/>
            </w:tcBorders>
          </w:tcPr>
          <w:p w14:paraId="51D1C533" w14:textId="77777777" w:rsidR="00DC1C36" w:rsidRPr="005D6673" w:rsidRDefault="00DC1C36" w:rsidP="005D6673">
            <w:pPr>
              <w:jc w:val="center"/>
              <w:rPr>
                <w:rFonts w:ascii="Arial" w:hAnsi="Arial" w:cs="Arial"/>
                <w:sz w:val="20"/>
                <w:szCs w:val="20"/>
              </w:rPr>
            </w:pPr>
          </w:p>
          <w:p w14:paraId="159B4022" w14:textId="245956AA"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302E51AB" w14:textId="77777777" w:rsidTr="00AC29DB">
        <w:tc>
          <w:tcPr>
            <w:tcW w:w="2978" w:type="dxa"/>
            <w:tcBorders>
              <w:top w:val="single" w:sz="4" w:space="0" w:color="FFFFFF"/>
              <w:bottom w:val="single" w:sz="4" w:space="0" w:color="FFFFFF"/>
            </w:tcBorders>
          </w:tcPr>
          <w:p w14:paraId="3A02AAAC" w14:textId="77777777" w:rsidR="00DC1C36" w:rsidRDefault="00DC1C36" w:rsidP="00AC29DB">
            <w:pPr>
              <w:jc w:val="both"/>
              <w:rPr>
                <w:rFonts w:ascii="Arial" w:hAnsi="Arial" w:cs="Arial"/>
                <w:i/>
                <w:iCs/>
                <w:sz w:val="20"/>
                <w:szCs w:val="20"/>
                <w:lang w:eastAsia="en-AU"/>
              </w:rPr>
            </w:pPr>
            <w:r w:rsidRPr="00AC29DB">
              <w:rPr>
                <w:rFonts w:ascii="Arial" w:hAnsi="Arial" w:cs="Arial"/>
                <w:i/>
                <w:iCs/>
                <w:sz w:val="20"/>
                <w:szCs w:val="20"/>
                <w:lang w:eastAsia="en-AU"/>
              </w:rPr>
              <w:t>Bedrooms, main living areas and principal private open spaces must be located away from noise sources (Refer to Figure 2-1).</w:t>
            </w:r>
          </w:p>
          <w:p w14:paraId="616656EC" w14:textId="0067ABC8" w:rsidR="00AC29DB" w:rsidRPr="00AC29DB" w:rsidRDefault="00AC29DB" w:rsidP="00AC29DB">
            <w:pPr>
              <w:jc w:val="both"/>
              <w:rPr>
                <w:rFonts w:ascii="Arial" w:hAnsi="Arial" w:cs="Arial"/>
                <w:i/>
                <w:iCs/>
              </w:rPr>
            </w:pPr>
          </w:p>
        </w:tc>
        <w:tc>
          <w:tcPr>
            <w:tcW w:w="4575" w:type="dxa"/>
            <w:tcBorders>
              <w:top w:val="single" w:sz="4" w:space="0" w:color="FFFFFF"/>
              <w:bottom w:val="single" w:sz="4" w:space="0" w:color="FFFFFF"/>
            </w:tcBorders>
          </w:tcPr>
          <w:p w14:paraId="2B13A656" w14:textId="4C12C2C7" w:rsidR="00DC1C36" w:rsidRDefault="00AC29DB" w:rsidP="00AC29DB">
            <w:pPr>
              <w:jc w:val="both"/>
              <w:rPr>
                <w:rFonts w:ascii="Arial" w:hAnsi="Arial" w:cs="Arial"/>
                <w:sz w:val="20"/>
                <w:szCs w:val="20"/>
              </w:rPr>
            </w:pPr>
            <w:r w:rsidRPr="00AC29DB">
              <w:rPr>
                <w:rFonts w:ascii="Arial" w:hAnsi="Arial" w:cs="Arial"/>
                <w:sz w:val="20"/>
                <w:szCs w:val="20"/>
              </w:rPr>
              <w:t xml:space="preserve">The development has been designed in a way, where habitable rooms are located away from key noise sources. The DA was accompanied by an Acoustic Report which noted that noise levels will not be exceeded in habitable rooms across the development site. Standard conditions are recommended to ensure ongoing compliance. </w:t>
            </w:r>
          </w:p>
          <w:p w14:paraId="2E217760" w14:textId="21F264A1" w:rsidR="00AC29DB" w:rsidRPr="00AC29DB" w:rsidRDefault="00AC29DB" w:rsidP="00AC29DB">
            <w:pPr>
              <w:jc w:val="both"/>
              <w:rPr>
                <w:rFonts w:ascii="Arial" w:hAnsi="Arial" w:cs="Arial"/>
              </w:rPr>
            </w:pPr>
          </w:p>
        </w:tc>
        <w:tc>
          <w:tcPr>
            <w:tcW w:w="1463" w:type="dxa"/>
            <w:tcBorders>
              <w:top w:val="single" w:sz="4" w:space="0" w:color="FFFFFF"/>
              <w:bottom w:val="single" w:sz="4" w:space="0" w:color="FFFFFF"/>
            </w:tcBorders>
          </w:tcPr>
          <w:p w14:paraId="54ED56F8" w14:textId="125E799F"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160E3B" w14:paraId="6C11083B" w14:textId="77777777" w:rsidTr="00160E3B">
        <w:trPr>
          <w:trHeight w:val="274"/>
        </w:trPr>
        <w:tc>
          <w:tcPr>
            <w:tcW w:w="2978" w:type="dxa"/>
            <w:tcBorders>
              <w:top w:val="single" w:sz="4" w:space="0" w:color="FFFFFF"/>
              <w:bottom w:val="single" w:sz="4" w:space="0" w:color="FFFFFF"/>
            </w:tcBorders>
          </w:tcPr>
          <w:p w14:paraId="3EEF86D4" w14:textId="77777777" w:rsidR="00160E3B" w:rsidRPr="00AC29DB" w:rsidRDefault="00160E3B" w:rsidP="00AC29DB">
            <w:pPr>
              <w:jc w:val="both"/>
              <w:rPr>
                <w:rFonts w:ascii="Arial" w:hAnsi="Arial" w:cs="Arial"/>
                <w:i/>
                <w:iCs/>
                <w:sz w:val="20"/>
                <w:szCs w:val="20"/>
                <w:lang w:eastAsia="en-AU"/>
              </w:rPr>
            </w:pPr>
            <w:r w:rsidRPr="00AC29DB">
              <w:rPr>
                <w:rFonts w:ascii="Arial" w:hAnsi="Arial" w:cs="Arial"/>
                <w:i/>
                <w:iCs/>
                <w:sz w:val="20"/>
                <w:szCs w:val="20"/>
                <w:lang w:eastAsia="en-AU"/>
              </w:rPr>
              <w:t>Noise attenuation measures must not adversely impact upon passive surveillance, active street frontages and energy efficiency.</w:t>
            </w:r>
          </w:p>
          <w:p w14:paraId="1FF2D72E" w14:textId="2435CC68" w:rsidR="00160E3B" w:rsidRPr="00AC29DB" w:rsidRDefault="00160E3B" w:rsidP="00AC29DB">
            <w:pPr>
              <w:jc w:val="both"/>
              <w:rPr>
                <w:rFonts w:ascii="Arial" w:hAnsi="Arial" w:cs="Arial"/>
                <w:i/>
                <w:iCs/>
                <w:sz w:val="20"/>
                <w:szCs w:val="20"/>
                <w:lang w:eastAsia="en-AU"/>
              </w:rPr>
            </w:pPr>
          </w:p>
        </w:tc>
        <w:tc>
          <w:tcPr>
            <w:tcW w:w="4575" w:type="dxa"/>
            <w:tcBorders>
              <w:top w:val="single" w:sz="4" w:space="0" w:color="FFFFFF"/>
              <w:bottom w:val="single" w:sz="4" w:space="0" w:color="FFFFFF"/>
            </w:tcBorders>
          </w:tcPr>
          <w:p w14:paraId="1EE2E989" w14:textId="06C7246A" w:rsidR="00160E3B" w:rsidRPr="00AC29DB" w:rsidRDefault="00160E3B" w:rsidP="00AC29DB">
            <w:pPr>
              <w:jc w:val="both"/>
              <w:rPr>
                <w:rFonts w:ascii="Arial" w:hAnsi="Arial" w:cs="Arial"/>
                <w:sz w:val="20"/>
                <w:szCs w:val="20"/>
              </w:rPr>
            </w:pPr>
            <w:r w:rsidRPr="00AC29DB">
              <w:rPr>
                <w:rFonts w:ascii="Arial" w:hAnsi="Arial" w:cs="Arial"/>
                <w:sz w:val="20"/>
                <w:szCs w:val="20"/>
              </w:rPr>
              <w:t xml:space="preserve">Proposed attenuation to mechanical plant selections for the building is unlikely to have any </w:t>
            </w:r>
            <w:r w:rsidR="0014398E">
              <w:rPr>
                <w:rFonts w:ascii="Arial" w:hAnsi="Arial" w:cs="Arial"/>
                <w:sz w:val="20"/>
                <w:szCs w:val="20"/>
              </w:rPr>
              <w:t>visual</w:t>
            </w:r>
            <w:r w:rsidRPr="00AC29DB">
              <w:rPr>
                <w:rFonts w:ascii="Arial" w:hAnsi="Arial" w:cs="Arial"/>
                <w:sz w:val="20"/>
                <w:szCs w:val="20"/>
              </w:rPr>
              <w:t xml:space="preserve"> impacts </w:t>
            </w:r>
            <w:proofErr w:type="gramStart"/>
            <w:r w:rsidRPr="00AC29DB">
              <w:rPr>
                <w:rFonts w:ascii="Arial" w:hAnsi="Arial" w:cs="Arial"/>
                <w:sz w:val="20"/>
                <w:szCs w:val="20"/>
              </w:rPr>
              <w:t>with regard to</w:t>
            </w:r>
            <w:proofErr w:type="gramEnd"/>
            <w:r w:rsidRPr="00AC29DB">
              <w:rPr>
                <w:rFonts w:ascii="Arial" w:hAnsi="Arial" w:cs="Arial"/>
                <w:sz w:val="20"/>
                <w:szCs w:val="20"/>
              </w:rPr>
              <w:t xml:space="preserve"> </w:t>
            </w:r>
            <w:r w:rsidR="0014398E">
              <w:rPr>
                <w:rFonts w:ascii="Arial" w:hAnsi="Arial" w:cs="Arial"/>
                <w:sz w:val="20"/>
                <w:szCs w:val="20"/>
              </w:rPr>
              <w:t xml:space="preserve">the </w:t>
            </w:r>
            <w:r w:rsidRPr="00AC29DB">
              <w:rPr>
                <w:rFonts w:ascii="Arial" w:hAnsi="Arial" w:cs="Arial"/>
                <w:sz w:val="20"/>
                <w:szCs w:val="20"/>
              </w:rPr>
              <w:t xml:space="preserve">streetscape given its size and proposed location. Standard conditions are recommended to ensure ongoing compliance. </w:t>
            </w:r>
          </w:p>
          <w:p w14:paraId="4235CF82" w14:textId="7C8AF7B6" w:rsidR="00160E3B" w:rsidRPr="00AC29DB" w:rsidRDefault="00160E3B">
            <w:pPr>
              <w:rPr>
                <w:rFonts w:ascii="Arial" w:hAnsi="Arial" w:cs="Arial"/>
                <w:sz w:val="20"/>
                <w:szCs w:val="20"/>
              </w:rPr>
            </w:pPr>
          </w:p>
        </w:tc>
        <w:tc>
          <w:tcPr>
            <w:tcW w:w="1463" w:type="dxa"/>
            <w:vMerge w:val="restart"/>
            <w:tcBorders>
              <w:top w:val="single" w:sz="4" w:space="0" w:color="FFFFFF"/>
            </w:tcBorders>
          </w:tcPr>
          <w:p w14:paraId="09D85194" w14:textId="77777777" w:rsidR="00160E3B" w:rsidRPr="005D6673" w:rsidRDefault="00160E3B" w:rsidP="005D6673">
            <w:pPr>
              <w:jc w:val="center"/>
              <w:rPr>
                <w:rFonts w:ascii="Arial" w:hAnsi="Arial" w:cs="Arial"/>
                <w:sz w:val="20"/>
                <w:szCs w:val="20"/>
              </w:rPr>
            </w:pPr>
            <w:r w:rsidRPr="005D6673">
              <w:rPr>
                <w:rFonts w:ascii="Arial" w:hAnsi="Arial" w:cs="Arial"/>
                <w:sz w:val="20"/>
                <w:szCs w:val="20"/>
              </w:rPr>
              <w:t>Yes</w:t>
            </w:r>
          </w:p>
          <w:p w14:paraId="0D60CCCE" w14:textId="77777777" w:rsidR="00160E3B" w:rsidRDefault="00160E3B" w:rsidP="005D6673">
            <w:pPr>
              <w:jc w:val="center"/>
              <w:rPr>
                <w:rFonts w:ascii="Arial" w:hAnsi="Arial" w:cs="Arial"/>
                <w:sz w:val="20"/>
                <w:szCs w:val="20"/>
              </w:rPr>
            </w:pPr>
          </w:p>
          <w:p w14:paraId="1F62ABA6" w14:textId="77777777" w:rsidR="00160E3B" w:rsidRDefault="00160E3B" w:rsidP="005D6673">
            <w:pPr>
              <w:jc w:val="center"/>
              <w:rPr>
                <w:rFonts w:ascii="Arial" w:hAnsi="Arial" w:cs="Arial"/>
                <w:sz w:val="20"/>
                <w:szCs w:val="20"/>
              </w:rPr>
            </w:pPr>
          </w:p>
          <w:p w14:paraId="1E34EA80" w14:textId="77777777" w:rsidR="00160E3B" w:rsidRDefault="00160E3B" w:rsidP="005D6673">
            <w:pPr>
              <w:jc w:val="center"/>
              <w:rPr>
                <w:rFonts w:ascii="Arial" w:hAnsi="Arial" w:cs="Arial"/>
                <w:sz w:val="20"/>
                <w:szCs w:val="20"/>
              </w:rPr>
            </w:pPr>
          </w:p>
          <w:p w14:paraId="1437C8EB" w14:textId="77777777" w:rsidR="00160E3B" w:rsidRDefault="00160E3B" w:rsidP="005D6673">
            <w:pPr>
              <w:jc w:val="center"/>
              <w:rPr>
                <w:rFonts w:ascii="Arial" w:hAnsi="Arial" w:cs="Arial"/>
                <w:sz w:val="20"/>
                <w:szCs w:val="20"/>
              </w:rPr>
            </w:pPr>
          </w:p>
          <w:p w14:paraId="628B350C" w14:textId="77777777" w:rsidR="00160E3B" w:rsidRDefault="00160E3B" w:rsidP="005D6673">
            <w:pPr>
              <w:jc w:val="center"/>
              <w:rPr>
                <w:rFonts w:ascii="Arial" w:hAnsi="Arial" w:cs="Arial"/>
                <w:sz w:val="20"/>
                <w:szCs w:val="20"/>
              </w:rPr>
            </w:pPr>
          </w:p>
          <w:p w14:paraId="6A0E120E" w14:textId="77777777" w:rsidR="00160E3B" w:rsidRDefault="00160E3B" w:rsidP="00160E3B">
            <w:pPr>
              <w:rPr>
                <w:rFonts w:ascii="Arial" w:hAnsi="Arial" w:cs="Arial"/>
                <w:sz w:val="20"/>
                <w:szCs w:val="20"/>
              </w:rPr>
            </w:pPr>
          </w:p>
          <w:p w14:paraId="2566993A" w14:textId="25DB530E" w:rsidR="00160E3B" w:rsidRPr="005D6673" w:rsidRDefault="00160E3B" w:rsidP="005D6673">
            <w:pPr>
              <w:jc w:val="center"/>
              <w:rPr>
                <w:rFonts w:ascii="Arial" w:hAnsi="Arial" w:cs="Arial"/>
                <w:sz w:val="20"/>
                <w:szCs w:val="20"/>
              </w:rPr>
            </w:pPr>
            <w:r w:rsidRPr="005D6673">
              <w:rPr>
                <w:rFonts w:ascii="Arial" w:hAnsi="Arial" w:cs="Arial"/>
                <w:sz w:val="20"/>
                <w:szCs w:val="20"/>
              </w:rPr>
              <w:t>Yes</w:t>
            </w:r>
          </w:p>
        </w:tc>
      </w:tr>
      <w:tr w:rsidR="00160E3B" w14:paraId="1D6A2E86" w14:textId="77777777" w:rsidTr="00855969">
        <w:tc>
          <w:tcPr>
            <w:tcW w:w="2978" w:type="dxa"/>
            <w:tcBorders>
              <w:top w:val="single" w:sz="4" w:space="0" w:color="FFFFFF"/>
              <w:bottom w:val="single" w:sz="4" w:space="0" w:color="FFFFFF"/>
            </w:tcBorders>
          </w:tcPr>
          <w:p w14:paraId="06143B1A" w14:textId="50021513" w:rsidR="00160E3B" w:rsidRPr="00AC29DB" w:rsidRDefault="00160E3B" w:rsidP="00AC29DB">
            <w:pPr>
              <w:jc w:val="both"/>
              <w:rPr>
                <w:rFonts w:ascii="Arial" w:hAnsi="Arial" w:cs="Arial"/>
                <w:i/>
                <w:iCs/>
                <w:sz w:val="20"/>
                <w:szCs w:val="20"/>
                <w:lang w:eastAsia="en-AU"/>
              </w:rPr>
            </w:pPr>
            <w:r w:rsidRPr="00AC29DB">
              <w:rPr>
                <w:rFonts w:ascii="Arial" w:hAnsi="Arial" w:cs="Arial"/>
                <w:i/>
                <w:iCs/>
                <w:sz w:val="20"/>
                <w:szCs w:val="20"/>
                <w:lang w:eastAsia="en-AU"/>
              </w:rPr>
              <w:t>Residential plant and equipment must not generate a noise level greater than 5dBA above background noise level as measured at the boundary of a noise sensitive property during the hours of 7.00am to 10.00pm.</w:t>
            </w:r>
          </w:p>
          <w:p w14:paraId="35C9161A" w14:textId="7DD32C44" w:rsidR="00160E3B" w:rsidRPr="00DC1C36" w:rsidRDefault="00160E3B" w:rsidP="00DC1C36">
            <w:pPr>
              <w:jc w:val="both"/>
              <w:rPr>
                <w:rFonts w:ascii="Arial" w:eastAsia="Times New Roman" w:hAnsi="Arial" w:cs="Arial"/>
                <w:i/>
                <w:iCs/>
                <w:color w:val="2C2E37"/>
                <w:spacing w:val="12"/>
                <w:kern w:val="0"/>
                <w:sz w:val="20"/>
                <w:szCs w:val="20"/>
                <w:lang w:eastAsia="en-AU"/>
                <w14:ligatures w14:val="none"/>
              </w:rPr>
            </w:pPr>
          </w:p>
        </w:tc>
        <w:tc>
          <w:tcPr>
            <w:tcW w:w="4575" w:type="dxa"/>
            <w:tcBorders>
              <w:top w:val="single" w:sz="4" w:space="0" w:color="FFFFFF"/>
              <w:bottom w:val="single" w:sz="4" w:space="0" w:color="FFFFFF"/>
            </w:tcBorders>
          </w:tcPr>
          <w:p w14:paraId="7E61A5C1" w14:textId="20CC9B00" w:rsidR="00160E3B" w:rsidRPr="009D6FB3" w:rsidRDefault="00160E3B" w:rsidP="0014398E">
            <w:pPr>
              <w:jc w:val="both"/>
              <w:rPr>
                <w:rFonts w:ascii="Arial" w:hAnsi="Arial" w:cs="Arial"/>
              </w:rPr>
            </w:pPr>
            <w:r w:rsidRPr="00DC1C36">
              <w:rPr>
                <w:rFonts w:ascii="Arial" w:hAnsi="Arial" w:cs="Arial"/>
                <w:sz w:val="20"/>
                <w:szCs w:val="20"/>
              </w:rPr>
              <w:t xml:space="preserve">A standard condition is recommended to ensure ongoing compliance with this control. </w:t>
            </w:r>
          </w:p>
        </w:tc>
        <w:tc>
          <w:tcPr>
            <w:tcW w:w="1463" w:type="dxa"/>
            <w:vMerge/>
            <w:tcBorders>
              <w:bottom w:val="single" w:sz="4" w:space="0" w:color="FFFFFF"/>
            </w:tcBorders>
          </w:tcPr>
          <w:p w14:paraId="0320D3CE" w14:textId="2109A3A9" w:rsidR="00160E3B" w:rsidRPr="005D6673" w:rsidRDefault="00160E3B" w:rsidP="005D6673">
            <w:pPr>
              <w:jc w:val="center"/>
              <w:rPr>
                <w:rFonts w:ascii="Arial" w:hAnsi="Arial" w:cs="Arial"/>
                <w:sz w:val="20"/>
                <w:szCs w:val="20"/>
              </w:rPr>
            </w:pPr>
          </w:p>
        </w:tc>
      </w:tr>
      <w:tr w:rsidR="00DC1C36" w14:paraId="1D278852" w14:textId="77777777" w:rsidTr="00E6371E">
        <w:tc>
          <w:tcPr>
            <w:tcW w:w="2978" w:type="dxa"/>
            <w:tcBorders>
              <w:top w:val="single" w:sz="4" w:space="0" w:color="FFFFFF"/>
              <w:bottom w:val="single" w:sz="4" w:space="0" w:color="FFFFFF"/>
            </w:tcBorders>
          </w:tcPr>
          <w:p w14:paraId="512BFDE1" w14:textId="77777777" w:rsidR="00DC1C36" w:rsidRPr="00E6371E" w:rsidRDefault="00DC1C36" w:rsidP="00E6371E">
            <w:pPr>
              <w:jc w:val="both"/>
              <w:rPr>
                <w:rFonts w:ascii="Arial" w:hAnsi="Arial" w:cs="Arial"/>
                <w:i/>
                <w:iCs/>
                <w:sz w:val="20"/>
                <w:szCs w:val="20"/>
                <w:lang w:eastAsia="en-AU"/>
              </w:rPr>
            </w:pPr>
            <w:r w:rsidRPr="00E6371E">
              <w:rPr>
                <w:rFonts w:ascii="Arial" w:hAnsi="Arial" w:cs="Arial"/>
                <w:i/>
                <w:iCs/>
                <w:sz w:val="20"/>
                <w:szCs w:val="20"/>
                <w:lang w:eastAsia="en-AU"/>
              </w:rPr>
              <w:t>Residential flat building developments are to meet the objectives of Part 4J of the NSW Department of Planning and Environment (or equivalent) - </w:t>
            </w:r>
            <w:hyperlink r:id="rId8" w:history="1">
              <w:r w:rsidRPr="00E6371E">
                <w:rPr>
                  <w:rFonts w:ascii="Arial" w:hAnsi="Arial" w:cs="Arial"/>
                  <w:i/>
                  <w:iCs/>
                  <w:sz w:val="20"/>
                  <w:szCs w:val="20"/>
                  <w:lang w:eastAsia="en-AU"/>
                </w:rPr>
                <w:t>Apartment Design Guide</w:t>
              </w:r>
            </w:hyperlink>
            <w:r w:rsidRPr="00E6371E">
              <w:rPr>
                <w:rFonts w:ascii="Arial" w:hAnsi="Arial" w:cs="Arial"/>
                <w:i/>
                <w:iCs/>
                <w:sz w:val="20"/>
                <w:szCs w:val="20"/>
                <w:lang w:eastAsia="en-AU"/>
              </w:rPr>
              <w:t> to minimise potential impacts of road and rail noise through appropriate siting and layout of buildings, noise shielding and attenuation.</w:t>
            </w:r>
          </w:p>
          <w:p w14:paraId="3714204F" w14:textId="51965003" w:rsidR="00DC1C36" w:rsidRPr="00DC1C36" w:rsidRDefault="00DC1C36" w:rsidP="00DC1C36">
            <w:pPr>
              <w:jc w:val="both"/>
              <w:rPr>
                <w:rFonts w:ascii="Arial" w:eastAsia="Times New Roman" w:hAnsi="Arial" w:cs="Arial"/>
                <w:i/>
                <w:iCs/>
                <w:color w:val="2C2E37"/>
                <w:spacing w:val="12"/>
                <w:kern w:val="0"/>
                <w:sz w:val="20"/>
                <w:szCs w:val="20"/>
                <w:lang w:eastAsia="en-AU"/>
                <w14:ligatures w14:val="none"/>
              </w:rPr>
            </w:pPr>
          </w:p>
        </w:tc>
        <w:tc>
          <w:tcPr>
            <w:tcW w:w="4575" w:type="dxa"/>
            <w:tcBorders>
              <w:top w:val="single" w:sz="4" w:space="0" w:color="FFFFFF"/>
              <w:bottom w:val="single" w:sz="4" w:space="0" w:color="FFFFFF"/>
            </w:tcBorders>
          </w:tcPr>
          <w:p w14:paraId="1A284FCB" w14:textId="64631415" w:rsidR="00DC1C36" w:rsidRPr="00E6371E" w:rsidRDefault="00E6371E" w:rsidP="00E6371E">
            <w:pPr>
              <w:jc w:val="both"/>
              <w:rPr>
                <w:rFonts w:ascii="Arial" w:hAnsi="Arial" w:cs="Arial"/>
                <w:sz w:val="20"/>
                <w:szCs w:val="20"/>
              </w:rPr>
            </w:pPr>
            <w:r w:rsidRPr="00E6371E">
              <w:rPr>
                <w:rFonts w:ascii="Arial" w:hAnsi="Arial" w:cs="Arial"/>
                <w:sz w:val="20"/>
                <w:szCs w:val="20"/>
              </w:rPr>
              <w:t>As noted, the DA was accompanied by an Acoustic Report which noted that the development is consistent with all relevant requirements relating to acoustic amenity. The application was reviewed by Council</w:t>
            </w:r>
            <w:r w:rsidR="0014398E">
              <w:rPr>
                <w:rFonts w:ascii="Arial" w:hAnsi="Arial" w:cs="Arial"/>
                <w:sz w:val="20"/>
                <w:szCs w:val="20"/>
              </w:rPr>
              <w:t>’</w:t>
            </w:r>
            <w:r w:rsidRPr="00E6371E">
              <w:rPr>
                <w:rFonts w:ascii="Arial" w:hAnsi="Arial" w:cs="Arial"/>
                <w:sz w:val="20"/>
                <w:szCs w:val="20"/>
              </w:rPr>
              <w:t xml:space="preserve">s Environmental Health Officer, where no concerns were raised. Standard conditions </w:t>
            </w:r>
            <w:proofErr w:type="gramStart"/>
            <w:r w:rsidRPr="00E6371E">
              <w:rPr>
                <w:rFonts w:ascii="Arial" w:hAnsi="Arial" w:cs="Arial"/>
                <w:sz w:val="20"/>
                <w:szCs w:val="20"/>
              </w:rPr>
              <w:t>is</w:t>
            </w:r>
            <w:proofErr w:type="gramEnd"/>
            <w:r w:rsidRPr="00E6371E">
              <w:rPr>
                <w:rFonts w:ascii="Arial" w:hAnsi="Arial" w:cs="Arial"/>
                <w:sz w:val="20"/>
                <w:szCs w:val="20"/>
              </w:rPr>
              <w:t xml:space="preserve"> recommended to ensure ongoing compliance with this control. </w:t>
            </w:r>
          </w:p>
        </w:tc>
        <w:tc>
          <w:tcPr>
            <w:tcW w:w="1463" w:type="dxa"/>
            <w:tcBorders>
              <w:top w:val="single" w:sz="4" w:space="0" w:color="FFFFFF"/>
              <w:bottom w:val="single" w:sz="4" w:space="0" w:color="FFFFFF"/>
            </w:tcBorders>
          </w:tcPr>
          <w:p w14:paraId="1789D11A" w14:textId="217C5AB5"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27BD0DD4" w14:textId="77777777" w:rsidTr="00E6371E">
        <w:tc>
          <w:tcPr>
            <w:tcW w:w="2978" w:type="dxa"/>
            <w:tcBorders>
              <w:top w:val="single" w:sz="4" w:space="0" w:color="FFFFFF"/>
            </w:tcBorders>
          </w:tcPr>
          <w:p w14:paraId="5F7893D2" w14:textId="77777777" w:rsidR="00DC1C36" w:rsidRPr="00E6371E" w:rsidRDefault="00DC1C36" w:rsidP="00E6371E">
            <w:pPr>
              <w:jc w:val="both"/>
              <w:rPr>
                <w:rFonts w:ascii="Arial" w:hAnsi="Arial" w:cs="Arial"/>
                <w:i/>
                <w:iCs/>
                <w:sz w:val="20"/>
                <w:szCs w:val="20"/>
                <w:lang w:eastAsia="en-AU"/>
              </w:rPr>
            </w:pPr>
            <w:r w:rsidRPr="00E6371E">
              <w:rPr>
                <w:rFonts w:ascii="Arial" w:hAnsi="Arial" w:cs="Arial"/>
                <w:i/>
                <w:iCs/>
                <w:sz w:val="20"/>
                <w:szCs w:val="20"/>
                <w:lang w:eastAsia="en-AU"/>
              </w:rPr>
              <w:t>An area of communal open space is to be attenuated to 57dBA LAeq (15hr) from 7am to 10pm.</w:t>
            </w:r>
          </w:p>
          <w:p w14:paraId="7F59A26C" w14:textId="77777777" w:rsidR="00DC1C36" w:rsidRPr="00DC1C36" w:rsidRDefault="00DC1C36" w:rsidP="00DC1C36">
            <w:pPr>
              <w:jc w:val="both"/>
              <w:rPr>
                <w:rFonts w:ascii="Arial" w:hAnsi="Arial" w:cs="Arial"/>
                <w:i/>
                <w:iCs/>
                <w:sz w:val="20"/>
                <w:szCs w:val="20"/>
              </w:rPr>
            </w:pPr>
          </w:p>
        </w:tc>
        <w:tc>
          <w:tcPr>
            <w:tcW w:w="4575" w:type="dxa"/>
            <w:tcBorders>
              <w:top w:val="single" w:sz="4" w:space="0" w:color="FFFFFF"/>
            </w:tcBorders>
          </w:tcPr>
          <w:p w14:paraId="2CB906E5" w14:textId="4806559A" w:rsidR="00DC1C36" w:rsidRPr="009D6FB3" w:rsidRDefault="00E6371E" w:rsidP="00E6371E">
            <w:pPr>
              <w:jc w:val="both"/>
              <w:rPr>
                <w:rFonts w:ascii="Arial" w:hAnsi="Arial" w:cs="Arial"/>
              </w:rPr>
            </w:pPr>
            <w:r w:rsidRPr="00DC1C36">
              <w:rPr>
                <w:rFonts w:ascii="Arial" w:hAnsi="Arial" w:cs="Arial"/>
                <w:sz w:val="20"/>
                <w:szCs w:val="20"/>
              </w:rPr>
              <w:t xml:space="preserve">A standard condition is recommended to ensure ongoing compliance with this control. </w:t>
            </w:r>
          </w:p>
        </w:tc>
        <w:tc>
          <w:tcPr>
            <w:tcW w:w="1463" w:type="dxa"/>
            <w:tcBorders>
              <w:top w:val="single" w:sz="4" w:space="0" w:color="FFFFFF"/>
            </w:tcBorders>
          </w:tcPr>
          <w:p w14:paraId="514A3AC2" w14:textId="71511448"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4218F323" w14:textId="77777777" w:rsidTr="00BB7072">
        <w:tc>
          <w:tcPr>
            <w:tcW w:w="2978" w:type="dxa"/>
          </w:tcPr>
          <w:p w14:paraId="2FCBC80A" w14:textId="77777777" w:rsidR="00DC1C36" w:rsidRPr="009248D0" w:rsidRDefault="00DC1C36" w:rsidP="009248D0">
            <w:pPr>
              <w:jc w:val="both"/>
              <w:rPr>
                <w:rFonts w:ascii="Arial" w:eastAsia="Times New Roman" w:hAnsi="Arial" w:cs="Arial"/>
                <w:b/>
                <w:bCs/>
                <w:color w:val="2C2E37"/>
                <w:spacing w:val="12"/>
                <w:kern w:val="0"/>
                <w:sz w:val="20"/>
                <w:szCs w:val="20"/>
                <w:lang w:eastAsia="en-AU"/>
                <w14:ligatures w14:val="none"/>
              </w:rPr>
            </w:pPr>
            <w:r w:rsidRPr="009248D0">
              <w:rPr>
                <w:rFonts w:ascii="Arial" w:eastAsia="Times New Roman" w:hAnsi="Arial" w:cs="Arial"/>
                <w:b/>
                <w:bCs/>
                <w:color w:val="2C2E37"/>
                <w:spacing w:val="12"/>
                <w:kern w:val="0"/>
                <w:sz w:val="20"/>
                <w:szCs w:val="20"/>
                <w:lang w:eastAsia="en-AU"/>
                <w14:ligatures w14:val="none"/>
              </w:rPr>
              <w:t xml:space="preserve">2.18 Traffic Management and Off-Street Parking </w:t>
            </w:r>
          </w:p>
          <w:p w14:paraId="37C5FEED" w14:textId="77777777" w:rsidR="00DC1C36" w:rsidRPr="00D01913" w:rsidRDefault="00DC1C36" w:rsidP="00D01913">
            <w:pPr>
              <w:jc w:val="both"/>
              <w:rPr>
                <w:rFonts w:ascii="Arial" w:hAnsi="Arial" w:cs="Arial"/>
                <w:i/>
                <w:iCs/>
                <w:sz w:val="20"/>
                <w:szCs w:val="20"/>
                <w:lang w:eastAsia="en-AU"/>
              </w:rPr>
            </w:pPr>
            <w:r w:rsidRPr="00D01913">
              <w:rPr>
                <w:rFonts w:ascii="Arial" w:hAnsi="Arial" w:cs="Arial"/>
                <w:i/>
                <w:iCs/>
                <w:sz w:val="20"/>
                <w:szCs w:val="20"/>
                <w:lang w:eastAsia="en-AU"/>
              </w:rPr>
              <w:t xml:space="preserve">Residential Flat Buildings </w:t>
            </w:r>
          </w:p>
          <w:p w14:paraId="41D19507" w14:textId="77777777" w:rsidR="00DC1C36" w:rsidRPr="00D01913" w:rsidRDefault="00DC1C36" w:rsidP="00D01913">
            <w:pPr>
              <w:pStyle w:val="ListParagraph"/>
              <w:numPr>
                <w:ilvl w:val="0"/>
                <w:numId w:val="36"/>
              </w:numPr>
              <w:ind w:left="314" w:hanging="314"/>
              <w:jc w:val="both"/>
              <w:rPr>
                <w:rFonts w:ascii="Arial" w:hAnsi="Arial" w:cs="Arial"/>
                <w:i/>
                <w:iCs/>
                <w:color w:val="212529"/>
                <w:sz w:val="20"/>
                <w:szCs w:val="20"/>
              </w:rPr>
            </w:pPr>
            <w:r w:rsidRPr="00D01913">
              <w:rPr>
                <w:rFonts w:ascii="Arial" w:hAnsi="Arial" w:cs="Arial"/>
                <w:i/>
                <w:iCs/>
                <w:color w:val="212529"/>
                <w:sz w:val="20"/>
                <w:szCs w:val="20"/>
              </w:rPr>
              <w:t>1 car parking space per unit, plus</w:t>
            </w:r>
          </w:p>
          <w:p w14:paraId="204EF999" w14:textId="77777777" w:rsidR="00DC1C36" w:rsidRPr="00D01913" w:rsidRDefault="00DC1C36" w:rsidP="00D01913">
            <w:pPr>
              <w:pStyle w:val="ListParagraph"/>
              <w:numPr>
                <w:ilvl w:val="0"/>
                <w:numId w:val="36"/>
              </w:numPr>
              <w:ind w:left="314" w:hanging="314"/>
              <w:jc w:val="both"/>
              <w:rPr>
                <w:rFonts w:ascii="Arial" w:hAnsi="Arial" w:cs="Arial"/>
                <w:i/>
                <w:iCs/>
                <w:color w:val="212529"/>
                <w:sz w:val="20"/>
                <w:szCs w:val="20"/>
              </w:rPr>
            </w:pPr>
            <w:r w:rsidRPr="00D01913">
              <w:rPr>
                <w:rFonts w:ascii="Arial" w:hAnsi="Arial" w:cs="Arial"/>
                <w:i/>
                <w:iCs/>
                <w:color w:val="212529"/>
                <w:sz w:val="20"/>
                <w:szCs w:val="20"/>
              </w:rPr>
              <w:t>0.2 car parking spaces per 2-bedroom unit, plus</w:t>
            </w:r>
          </w:p>
          <w:p w14:paraId="10CA2413" w14:textId="77777777" w:rsidR="00DC1C36" w:rsidRPr="00D01913" w:rsidRDefault="00DC1C36" w:rsidP="00D01913">
            <w:pPr>
              <w:pStyle w:val="ListParagraph"/>
              <w:numPr>
                <w:ilvl w:val="0"/>
                <w:numId w:val="36"/>
              </w:numPr>
              <w:ind w:left="314" w:hanging="314"/>
              <w:jc w:val="both"/>
              <w:rPr>
                <w:rFonts w:ascii="Arial" w:hAnsi="Arial" w:cs="Arial"/>
                <w:i/>
                <w:iCs/>
                <w:color w:val="212529"/>
                <w:sz w:val="20"/>
                <w:szCs w:val="20"/>
              </w:rPr>
            </w:pPr>
            <w:r w:rsidRPr="00D01913">
              <w:rPr>
                <w:rFonts w:ascii="Arial" w:hAnsi="Arial" w:cs="Arial"/>
                <w:i/>
                <w:iCs/>
                <w:color w:val="212529"/>
                <w:sz w:val="20"/>
                <w:szCs w:val="20"/>
              </w:rPr>
              <w:t>0.5 car parking spaces per 3 or more-bedroom unit.</w:t>
            </w:r>
          </w:p>
          <w:p w14:paraId="35D696F0" w14:textId="77777777" w:rsidR="00DC1C36" w:rsidRPr="00D01913" w:rsidRDefault="00DC1C36" w:rsidP="00D01913">
            <w:pPr>
              <w:pStyle w:val="ListParagraph"/>
              <w:numPr>
                <w:ilvl w:val="0"/>
                <w:numId w:val="36"/>
              </w:numPr>
              <w:ind w:left="314" w:hanging="314"/>
              <w:jc w:val="both"/>
              <w:rPr>
                <w:rFonts w:ascii="Arial" w:hAnsi="Arial" w:cs="Arial"/>
                <w:i/>
                <w:iCs/>
                <w:color w:val="212529"/>
                <w:sz w:val="20"/>
                <w:szCs w:val="20"/>
              </w:rPr>
            </w:pPr>
            <w:r w:rsidRPr="00D01913">
              <w:rPr>
                <w:rFonts w:ascii="Arial" w:hAnsi="Arial" w:cs="Arial"/>
                <w:i/>
                <w:iCs/>
                <w:color w:val="212529"/>
                <w:sz w:val="20"/>
                <w:szCs w:val="20"/>
              </w:rPr>
              <w:t>1 visitor car parking space per 5 units.</w:t>
            </w:r>
          </w:p>
          <w:p w14:paraId="04694B36" w14:textId="77777777" w:rsidR="00DC1C36" w:rsidRPr="00D01913" w:rsidRDefault="00DC1C36" w:rsidP="00D01913">
            <w:pPr>
              <w:pStyle w:val="ListParagraph"/>
              <w:numPr>
                <w:ilvl w:val="0"/>
                <w:numId w:val="36"/>
              </w:numPr>
              <w:ind w:left="314" w:hanging="314"/>
              <w:jc w:val="both"/>
              <w:rPr>
                <w:rFonts w:ascii="Arial" w:hAnsi="Arial" w:cs="Arial"/>
                <w:i/>
                <w:iCs/>
                <w:color w:val="212529"/>
                <w:sz w:val="20"/>
                <w:szCs w:val="20"/>
              </w:rPr>
            </w:pPr>
            <w:r w:rsidRPr="00D01913">
              <w:rPr>
                <w:rFonts w:ascii="Arial" w:hAnsi="Arial" w:cs="Arial"/>
                <w:i/>
                <w:iCs/>
                <w:color w:val="212529"/>
                <w:sz w:val="20"/>
                <w:szCs w:val="20"/>
              </w:rPr>
              <w:t>1 bicycle space per 3 units.</w:t>
            </w:r>
          </w:p>
          <w:p w14:paraId="02A0AB37" w14:textId="37A2301D" w:rsidR="00DC1C36" w:rsidRPr="009248D0" w:rsidRDefault="00DC1C36" w:rsidP="009248D0">
            <w:pPr>
              <w:jc w:val="both"/>
              <w:rPr>
                <w:rFonts w:ascii="Arial" w:eastAsia="Times New Roman" w:hAnsi="Arial" w:cs="Arial"/>
                <w:i/>
                <w:iCs/>
                <w:color w:val="2C2E37"/>
                <w:spacing w:val="12"/>
                <w:kern w:val="0"/>
                <w:sz w:val="20"/>
                <w:szCs w:val="20"/>
                <w:lang w:eastAsia="en-AU"/>
                <w14:ligatures w14:val="none"/>
              </w:rPr>
            </w:pPr>
          </w:p>
        </w:tc>
        <w:tc>
          <w:tcPr>
            <w:tcW w:w="4575" w:type="dxa"/>
          </w:tcPr>
          <w:p w14:paraId="742DF6CD" w14:textId="77777777" w:rsidR="00DC1C36" w:rsidRDefault="00DC1C36">
            <w:pPr>
              <w:rPr>
                <w:rFonts w:ascii="Arial" w:hAnsi="Arial" w:cs="Arial"/>
              </w:rPr>
            </w:pPr>
          </w:p>
          <w:p w14:paraId="20306FC8" w14:textId="77777777" w:rsidR="00F6462D" w:rsidRDefault="00F6462D" w:rsidP="00D01913">
            <w:pPr>
              <w:jc w:val="both"/>
              <w:rPr>
                <w:rFonts w:ascii="Arial" w:hAnsi="Arial" w:cs="Arial"/>
                <w:sz w:val="20"/>
                <w:szCs w:val="20"/>
              </w:rPr>
            </w:pPr>
          </w:p>
          <w:p w14:paraId="7219BF1C" w14:textId="4A9DBB8A" w:rsidR="00D01913" w:rsidRPr="00F6462D" w:rsidRDefault="00D01913" w:rsidP="00D01913">
            <w:pPr>
              <w:jc w:val="both"/>
              <w:rPr>
                <w:rFonts w:ascii="Arial" w:hAnsi="Arial" w:cs="Arial"/>
                <w:sz w:val="20"/>
                <w:szCs w:val="20"/>
              </w:rPr>
            </w:pPr>
            <w:r w:rsidRPr="00F6462D">
              <w:rPr>
                <w:rFonts w:ascii="Arial" w:hAnsi="Arial" w:cs="Arial"/>
                <w:sz w:val="20"/>
                <w:szCs w:val="20"/>
              </w:rPr>
              <w:t xml:space="preserve">The development proposes a maximum of 177 units with the following breakdown: </w:t>
            </w:r>
          </w:p>
          <w:p w14:paraId="0862D309" w14:textId="37B639C2" w:rsidR="00D01913" w:rsidRPr="00F6462D" w:rsidRDefault="00D01913" w:rsidP="00D01913">
            <w:pPr>
              <w:pStyle w:val="ListParagraph"/>
              <w:numPr>
                <w:ilvl w:val="0"/>
                <w:numId w:val="36"/>
              </w:numPr>
              <w:rPr>
                <w:rFonts w:ascii="Arial" w:hAnsi="Arial" w:cs="Arial"/>
                <w:sz w:val="20"/>
                <w:szCs w:val="20"/>
              </w:rPr>
            </w:pPr>
            <w:r w:rsidRPr="00F6462D">
              <w:rPr>
                <w:rFonts w:ascii="Arial" w:hAnsi="Arial" w:cs="Arial"/>
                <w:sz w:val="20"/>
                <w:szCs w:val="20"/>
              </w:rPr>
              <w:t xml:space="preserve">24 one-bedroom units, </w:t>
            </w:r>
          </w:p>
          <w:p w14:paraId="7DABE430" w14:textId="7F38B575" w:rsidR="00D01913" w:rsidRPr="00F6462D" w:rsidRDefault="00D01913" w:rsidP="00D01913">
            <w:pPr>
              <w:pStyle w:val="ListParagraph"/>
              <w:numPr>
                <w:ilvl w:val="0"/>
                <w:numId w:val="36"/>
              </w:numPr>
              <w:rPr>
                <w:rFonts w:ascii="Arial" w:hAnsi="Arial" w:cs="Arial"/>
                <w:sz w:val="20"/>
                <w:szCs w:val="20"/>
              </w:rPr>
            </w:pPr>
            <w:r w:rsidRPr="00F6462D">
              <w:rPr>
                <w:rFonts w:ascii="Arial" w:hAnsi="Arial" w:cs="Arial"/>
                <w:sz w:val="20"/>
                <w:szCs w:val="20"/>
              </w:rPr>
              <w:t xml:space="preserve">112 two-bedroom units, and </w:t>
            </w:r>
          </w:p>
          <w:p w14:paraId="2CC46751" w14:textId="77777777" w:rsidR="00D01913" w:rsidRPr="00F6462D" w:rsidRDefault="00D01913" w:rsidP="00D01913">
            <w:pPr>
              <w:pStyle w:val="ListParagraph"/>
              <w:numPr>
                <w:ilvl w:val="0"/>
                <w:numId w:val="36"/>
              </w:numPr>
              <w:jc w:val="both"/>
              <w:rPr>
                <w:rFonts w:ascii="Arial" w:hAnsi="Arial" w:cs="Arial"/>
                <w:sz w:val="20"/>
                <w:szCs w:val="20"/>
              </w:rPr>
            </w:pPr>
            <w:r w:rsidRPr="00F6462D">
              <w:rPr>
                <w:rFonts w:ascii="Arial" w:hAnsi="Arial" w:cs="Arial"/>
                <w:sz w:val="20"/>
                <w:szCs w:val="20"/>
              </w:rPr>
              <w:t xml:space="preserve">41 three-bedroom units. </w:t>
            </w:r>
          </w:p>
          <w:p w14:paraId="58DC871B" w14:textId="17BF7541" w:rsidR="00D01913" w:rsidRPr="00F6462D" w:rsidRDefault="00F6462D" w:rsidP="00F6462D">
            <w:pPr>
              <w:jc w:val="both"/>
              <w:rPr>
                <w:rFonts w:ascii="Arial" w:hAnsi="Arial" w:cs="Arial"/>
                <w:sz w:val="20"/>
                <w:szCs w:val="20"/>
              </w:rPr>
            </w:pPr>
            <w:r w:rsidRPr="00F6462D">
              <w:rPr>
                <w:rFonts w:ascii="Arial" w:hAnsi="Arial" w:cs="Arial"/>
                <w:sz w:val="20"/>
                <w:szCs w:val="20"/>
              </w:rPr>
              <w:t xml:space="preserve">Based on the above, the following calculations are applicable to the development: </w:t>
            </w:r>
          </w:p>
          <w:p w14:paraId="135A6F61" w14:textId="48139D9F" w:rsidR="00F6462D" w:rsidRPr="00C176FD" w:rsidRDefault="00F6462D" w:rsidP="00F6462D">
            <w:pPr>
              <w:pStyle w:val="ListParagraph"/>
              <w:numPr>
                <w:ilvl w:val="0"/>
                <w:numId w:val="36"/>
              </w:numPr>
              <w:jc w:val="both"/>
              <w:rPr>
                <w:rFonts w:ascii="Arial" w:hAnsi="Arial" w:cs="Arial"/>
                <w:sz w:val="20"/>
                <w:szCs w:val="20"/>
              </w:rPr>
            </w:pPr>
            <w:r w:rsidRPr="00C176FD">
              <w:rPr>
                <w:rFonts w:ascii="Arial" w:hAnsi="Arial" w:cs="Arial"/>
                <w:sz w:val="20"/>
                <w:szCs w:val="20"/>
              </w:rPr>
              <w:t>177 spaces</w:t>
            </w:r>
            <w:r w:rsidR="00C176FD" w:rsidRPr="00C176FD">
              <w:rPr>
                <w:rFonts w:ascii="Arial" w:hAnsi="Arial" w:cs="Arial"/>
                <w:sz w:val="20"/>
                <w:szCs w:val="20"/>
              </w:rPr>
              <w:t xml:space="preserve"> (number of units in total)</w:t>
            </w:r>
            <w:r w:rsidRPr="00C176FD">
              <w:rPr>
                <w:rFonts w:ascii="Arial" w:hAnsi="Arial" w:cs="Arial"/>
                <w:sz w:val="20"/>
                <w:szCs w:val="20"/>
              </w:rPr>
              <w:t xml:space="preserve">,  </w:t>
            </w:r>
          </w:p>
          <w:p w14:paraId="4A7C0D8F" w14:textId="6F226389" w:rsidR="00F6462D" w:rsidRPr="00C176FD" w:rsidRDefault="00F6462D" w:rsidP="00F6462D">
            <w:pPr>
              <w:pStyle w:val="ListParagraph"/>
              <w:numPr>
                <w:ilvl w:val="0"/>
                <w:numId w:val="36"/>
              </w:numPr>
              <w:jc w:val="both"/>
              <w:rPr>
                <w:rFonts w:ascii="Arial" w:hAnsi="Arial" w:cs="Arial"/>
                <w:sz w:val="20"/>
                <w:szCs w:val="20"/>
              </w:rPr>
            </w:pPr>
            <w:r w:rsidRPr="00C176FD">
              <w:rPr>
                <w:rFonts w:ascii="Arial" w:hAnsi="Arial" w:cs="Arial"/>
                <w:sz w:val="20"/>
                <w:szCs w:val="20"/>
              </w:rPr>
              <w:t>22.4 spaces (25)</w:t>
            </w:r>
            <w:r w:rsidR="00C176FD" w:rsidRPr="00C176FD">
              <w:rPr>
                <w:rFonts w:ascii="Arial" w:hAnsi="Arial" w:cs="Arial"/>
                <w:sz w:val="20"/>
                <w:szCs w:val="20"/>
              </w:rPr>
              <w:t xml:space="preserve"> (to accommodate the proposed two bedroom units)</w:t>
            </w:r>
            <w:r w:rsidRPr="00C176FD">
              <w:rPr>
                <w:rFonts w:ascii="Arial" w:hAnsi="Arial" w:cs="Arial"/>
                <w:sz w:val="20"/>
                <w:szCs w:val="20"/>
              </w:rPr>
              <w:t xml:space="preserve">, </w:t>
            </w:r>
          </w:p>
          <w:p w14:paraId="6FA1C27B" w14:textId="3FE2FE1E" w:rsidR="00F6462D" w:rsidRPr="00C176FD" w:rsidRDefault="00F6462D" w:rsidP="00F6462D">
            <w:pPr>
              <w:pStyle w:val="ListParagraph"/>
              <w:numPr>
                <w:ilvl w:val="0"/>
                <w:numId w:val="36"/>
              </w:numPr>
              <w:jc w:val="both"/>
              <w:rPr>
                <w:rFonts w:ascii="Arial" w:hAnsi="Arial" w:cs="Arial"/>
                <w:sz w:val="20"/>
                <w:szCs w:val="20"/>
              </w:rPr>
            </w:pPr>
            <w:r w:rsidRPr="00C176FD">
              <w:rPr>
                <w:rFonts w:ascii="Arial" w:hAnsi="Arial" w:cs="Arial"/>
                <w:sz w:val="20"/>
                <w:szCs w:val="20"/>
              </w:rPr>
              <w:lastRenderedPageBreak/>
              <w:t>20.5 spaces (21)</w:t>
            </w:r>
            <w:r w:rsidR="00C176FD" w:rsidRPr="00C176FD">
              <w:rPr>
                <w:rFonts w:ascii="Arial" w:hAnsi="Arial" w:cs="Arial"/>
                <w:sz w:val="20"/>
                <w:szCs w:val="20"/>
              </w:rPr>
              <w:t xml:space="preserve"> (to accommodate the proposed three bedroom units)</w:t>
            </w:r>
            <w:r w:rsidRPr="00C176FD">
              <w:rPr>
                <w:rFonts w:ascii="Arial" w:hAnsi="Arial" w:cs="Arial"/>
                <w:sz w:val="20"/>
                <w:szCs w:val="20"/>
              </w:rPr>
              <w:t xml:space="preserve">,  </w:t>
            </w:r>
          </w:p>
          <w:p w14:paraId="50A8A3AD" w14:textId="50FDFCC0" w:rsidR="00F6462D" w:rsidRPr="00C176FD" w:rsidRDefault="00F6462D" w:rsidP="00F6462D">
            <w:pPr>
              <w:pStyle w:val="ListParagraph"/>
              <w:numPr>
                <w:ilvl w:val="0"/>
                <w:numId w:val="36"/>
              </w:numPr>
              <w:jc w:val="both"/>
              <w:rPr>
                <w:rFonts w:ascii="Arial" w:hAnsi="Arial" w:cs="Arial"/>
                <w:sz w:val="20"/>
                <w:szCs w:val="20"/>
              </w:rPr>
            </w:pPr>
            <w:r w:rsidRPr="00C176FD">
              <w:rPr>
                <w:rFonts w:ascii="Arial" w:hAnsi="Arial" w:cs="Arial"/>
                <w:sz w:val="20"/>
                <w:szCs w:val="20"/>
              </w:rPr>
              <w:t>35.4 spaces (34)</w:t>
            </w:r>
            <w:r w:rsidR="00C176FD" w:rsidRPr="00C176FD">
              <w:rPr>
                <w:rFonts w:ascii="Arial" w:hAnsi="Arial" w:cs="Arial"/>
                <w:sz w:val="20"/>
                <w:szCs w:val="20"/>
              </w:rPr>
              <w:t xml:space="preserve"> (to accommodate visitor car parking)</w:t>
            </w:r>
            <w:r w:rsidRPr="00C176FD">
              <w:rPr>
                <w:rFonts w:ascii="Arial" w:hAnsi="Arial" w:cs="Arial"/>
                <w:sz w:val="20"/>
                <w:szCs w:val="20"/>
              </w:rPr>
              <w:t xml:space="preserve">, </w:t>
            </w:r>
          </w:p>
          <w:p w14:paraId="2D336512" w14:textId="4E85A62D" w:rsidR="00F6462D" w:rsidRPr="00C176FD" w:rsidRDefault="00F6462D" w:rsidP="00F6462D">
            <w:pPr>
              <w:pStyle w:val="ListParagraph"/>
              <w:numPr>
                <w:ilvl w:val="0"/>
                <w:numId w:val="36"/>
              </w:numPr>
              <w:jc w:val="both"/>
              <w:rPr>
                <w:rFonts w:ascii="Arial" w:hAnsi="Arial" w:cs="Arial"/>
                <w:sz w:val="20"/>
                <w:szCs w:val="20"/>
              </w:rPr>
            </w:pPr>
            <w:r w:rsidRPr="00C176FD">
              <w:rPr>
                <w:rFonts w:ascii="Arial" w:hAnsi="Arial" w:cs="Arial"/>
                <w:sz w:val="20"/>
                <w:szCs w:val="20"/>
              </w:rPr>
              <w:t>59 bicycle spaces</w:t>
            </w:r>
            <w:r w:rsidR="00C176FD" w:rsidRPr="00C176FD">
              <w:rPr>
                <w:rFonts w:ascii="Arial" w:hAnsi="Arial" w:cs="Arial"/>
                <w:sz w:val="20"/>
                <w:szCs w:val="20"/>
              </w:rPr>
              <w:t xml:space="preserve"> (as per the calculation of one per three units)</w:t>
            </w:r>
            <w:r w:rsidRPr="00C176FD">
              <w:rPr>
                <w:rFonts w:ascii="Arial" w:hAnsi="Arial" w:cs="Arial"/>
                <w:sz w:val="20"/>
                <w:szCs w:val="20"/>
              </w:rPr>
              <w:t xml:space="preserve">. </w:t>
            </w:r>
          </w:p>
          <w:p w14:paraId="12D28F88" w14:textId="1EE4609F" w:rsidR="00F6462D" w:rsidRPr="00F6462D" w:rsidRDefault="00F6462D" w:rsidP="00F6462D">
            <w:pPr>
              <w:jc w:val="both"/>
              <w:rPr>
                <w:rFonts w:ascii="Arial" w:hAnsi="Arial" w:cs="Arial"/>
                <w:sz w:val="20"/>
                <w:szCs w:val="20"/>
              </w:rPr>
            </w:pPr>
            <w:r w:rsidRPr="00F6462D">
              <w:rPr>
                <w:rFonts w:ascii="Arial" w:hAnsi="Arial" w:cs="Arial"/>
                <w:sz w:val="20"/>
                <w:szCs w:val="20"/>
              </w:rPr>
              <w:t xml:space="preserve">Based on the above, the development requires 257 spaces and 59 bicycle spaces. </w:t>
            </w:r>
          </w:p>
          <w:p w14:paraId="5FDF1D78" w14:textId="77777777" w:rsidR="00F6462D" w:rsidRPr="00F6462D" w:rsidRDefault="00F6462D" w:rsidP="00F6462D">
            <w:pPr>
              <w:jc w:val="both"/>
              <w:rPr>
                <w:rFonts w:ascii="Arial" w:hAnsi="Arial" w:cs="Arial"/>
                <w:sz w:val="20"/>
                <w:szCs w:val="20"/>
              </w:rPr>
            </w:pPr>
          </w:p>
          <w:p w14:paraId="68D4FBA0" w14:textId="179B12C7" w:rsidR="00F6462D" w:rsidRPr="0014398E" w:rsidRDefault="00D01913" w:rsidP="00D01913">
            <w:pPr>
              <w:jc w:val="both"/>
              <w:rPr>
                <w:rFonts w:ascii="Arial" w:hAnsi="Arial" w:cs="Arial"/>
                <w:sz w:val="20"/>
                <w:szCs w:val="20"/>
              </w:rPr>
            </w:pPr>
            <w:r w:rsidRPr="00F6462D">
              <w:rPr>
                <w:rFonts w:ascii="Arial" w:hAnsi="Arial" w:cs="Arial"/>
                <w:sz w:val="20"/>
                <w:szCs w:val="20"/>
              </w:rPr>
              <w:t xml:space="preserve">The </w:t>
            </w:r>
            <w:r w:rsidR="00F6462D" w:rsidRPr="00F6462D">
              <w:rPr>
                <w:rFonts w:ascii="Arial" w:hAnsi="Arial" w:cs="Arial"/>
                <w:sz w:val="20"/>
                <w:szCs w:val="20"/>
              </w:rPr>
              <w:t xml:space="preserve">development </w:t>
            </w:r>
            <w:r w:rsidRPr="00F6462D">
              <w:rPr>
                <w:rFonts w:ascii="Arial" w:hAnsi="Arial" w:cs="Arial"/>
                <w:sz w:val="20"/>
                <w:szCs w:val="20"/>
              </w:rPr>
              <w:t xml:space="preserve">provides a minimum of </w:t>
            </w:r>
            <w:r w:rsidRPr="0014398E">
              <w:rPr>
                <w:rFonts w:ascii="Arial" w:hAnsi="Arial" w:cs="Arial"/>
                <w:sz w:val="20"/>
                <w:szCs w:val="20"/>
              </w:rPr>
              <w:t xml:space="preserve">277 car parking spaces, 15 motorcycle spaces and 63 bicycle spaces </w:t>
            </w:r>
            <w:r w:rsidRPr="00F6462D">
              <w:rPr>
                <w:rFonts w:ascii="Arial" w:hAnsi="Arial" w:cs="Arial"/>
                <w:sz w:val="20"/>
                <w:szCs w:val="20"/>
              </w:rPr>
              <w:t xml:space="preserve">across two basement levels. </w:t>
            </w:r>
          </w:p>
        </w:tc>
        <w:tc>
          <w:tcPr>
            <w:tcW w:w="1463" w:type="dxa"/>
          </w:tcPr>
          <w:p w14:paraId="3861B10A" w14:textId="77777777" w:rsidR="00DC1C36" w:rsidRPr="005D6673" w:rsidRDefault="00DC1C36" w:rsidP="005D6673">
            <w:pPr>
              <w:jc w:val="center"/>
              <w:rPr>
                <w:rFonts w:ascii="Arial" w:hAnsi="Arial" w:cs="Arial"/>
                <w:sz w:val="20"/>
                <w:szCs w:val="20"/>
              </w:rPr>
            </w:pPr>
          </w:p>
          <w:p w14:paraId="012C0151" w14:textId="77777777" w:rsidR="005D6673" w:rsidRPr="005D6673" w:rsidRDefault="005D6673" w:rsidP="005D6673">
            <w:pPr>
              <w:jc w:val="center"/>
              <w:rPr>
                <w:rFonts w:ascii="Arial" w:hAnsi="Arial" w:cs="Arial"/>
                <w:sz w:val="20"/>
                <w:szCs w:val="20"/>
              </w:rPr>
            </w:pPr>
          </w:p>
          <w:p w14:paraId="4DC60E21" w14:textId="2729D495"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439D6213" w14:textId="77777777" w:rsidTr="00BB7072">
        <w:tc>
          <w:tcPr>
            <w:tcW w:w="2978" w:type="dxa"/>
          </w:tcPr>
          <w:p w14:paraId="5676F7CF" w14:textId="77777777" w:rsidR="00DC1C36" w:rsidRDefault="00DC1C36" w:rsidP="009248D0">
            <w:pPr>
              <w:jc w:val="both"/>
              <w:rPr>
                <w:rFonts w:ascii="Arial" w:eastAsia="Times New Roman" w:hAnsi="Arial" w:cs="Arial"/>
                <w:b/>
                <w:bCs/>
                <w:color w:val="2C2E37"/>
                <w:spacing w:val="12"/>
                <w:kern w:val="0"/>
                <w:sz w:val="20"/>
                <w:szCs w:val="20"/>
                <w:lang w:eastAsia="en-AU"/>
                <w14:ligatures w14:val="none"/>
              </w:rPr>
            </w:pPr>
            <w:r>
              <w:rPr>
                <w:rFonts w:ascii="Arial" w:eastAsia="Times New Roman" w:hAnsi="Arial" w:cs="Arial"/>
                <w:b/>
                <w:bCs/>
                <w:color w:val="2C2E37"/>
                <w:spacing w:val="12"/>
                <w:kern w:val="0"/>
                <w:sz w:val="20"/>
                <w:szCs w:val="20"/>
                <w:lang w:eastAsia="en-AU"/>
                <w14:ligatures w14:val="none"/>
              </w:rPr>
              <w:t xml:space="preserve">2.19 Landscape Design </w:t>
            </w:r>
          </w:p>
          <w:p w14:paraId="2D0DABF3" w14:textId="77777777" w:rsidR="00DC1C36" w:rsidRDefault="00DC1C36" w:rsidP="009248D0">
            <w:pPr>
              <w:jc w:val="both"/>
              <w:rPr>
                <w:rFonts w:ascii="Arial" w:hAnsi="Arial" w:cs="Arial"/>
                <w:i/>
                <w:iCs/>
                <w:sz w:val="20"/>
                <w:szCs w:val="20"/>
                <w:shd w:val="clear" w:color="auto" w:fill="FFFFFF"/>
              </w:rPr>
            </w:pPr>
            <w:r w:rsidRPr="009248D0">
              <w:rPr>
                <w:rFonts w:ascii="Arial" w:hAnsi="Arial" w:cs="Arial"/>
                <w:i/>
                <w:iCs/>
                <w:sz w:val="20"/>
                <w:szCs w:val="20"/>
                <w:shd w:val="clear" w:color="auto" w:fill="FFFFFF"/>
              </w:rPr>
              <w:t>A landscape plan is to be submitted for all development that, in Council’s opinion, will significantly alter the existing and intended landscape character of the land.</w:t>
            </w:r>
          </w:p>
          <w:p w14:paraId="5DBC4572" w14:textId="21D4DAAA" w:rsidR="00DC1C36" w:rsidRPr="009248D0" w:rsidRDefault="00DC1C36" w:rsidP="009248D0">
            <w:pPr>
              <w:jc w:val="both"/>
              <w:rPr>
                <w:rFonts w:ascii="Arial" w:eastAsia="Times New Roman" w:hAnsi="Arial" w:cs="Arial"/>
                <w:i/>
                <w:iCs/>
                <w:color w:val="2C2E37"/>
                <w:spacing w:val="12"/>
                <w:kern w:val="0"/>
                <w:sz w:val="20"/>
                <w:szCs w:val="20"/>
                <w:lang w:eastAsia="en-AU"/>
                <w14:ligatures w14:val="none"/>
              </w:rPr>
            </w:pPr>
          </w:p>
        </w:tc>
        <w:tc>
          <w:tcPr>
            <w:tcW w:w="4575" w:type="dxa"/>
          </w:tcPr>
          <w:p w14:paraId="2A1715E0" w14:textId="77777777" w:rsidR="00DC1C36" w:rsidRDefault="00DC1C36">
            <w:pPr>
              <w:rPr>
                <w:rFonts w:ascii="Arial" w:hAnsi="Arial" w:cs="Arial"/>
              </w:rPr>
            </w:pPr>
          </w:p>
          <w:p w14:paraId="1AC11563" w14:textId="22B9EE4C" w:rsidR="00F6462D" w:rsidRPr="004F5EAB" w:rsidRDefault="00F6462D" w:rsidP="00F6462D">
            <w:pPr>
              <w:jc w:val="both"/>
              <w:rPr>
                <w:rFonts w:ascii="Arial" w:hAnsi="Arial" w:cs="Arial"/>
                <w:sz w:val="20"/>
                <w:szCs w:val="20"/>
              </w:rPr>
            </w:pPr>
            <w:r w:rsidRPr="00F6462D">
              <w:rPr>
                <w:rFonts w:ascii="Arial" w:hAnsi="Arial" w:cs="Arial"/>
                <w:sz w:val="20"/>
                <w:szCs w:val="20"/>
              </w:rPr>
              <w:t xml:space="preserve">The DA was accompanied by a detailed Landscape Plan, prepared in accordance with Appendix B of the Camden DCP. Standard conditions are recommended in the consent, ensuring the development is carried out in accordance with Councils requirements (as detailed in Appendix B). </w:t>
            </w:r>
          </w:p>
        </w:tc>
        <w:tc>
          <w:tcPr>
            <w:tcW w:w="1463" w:type="dxa"/>
          </w:tcPr>
          <w:p w14:paraId="7AC6C280" w14:textId="77777777" w:rsidR="00DC1C36" w:rsidRPr="005D6673" w:rsidRDefault="00DC1C36" w:rsidP="005D6673">
            <w:pPr>
              <w:jc w:val="center"/>
              <w:rPr>
                <w:rFonts w:ascii="Arial" w:hAnsi="Arial" w:cs="Arial"/>
                <w:sz w:val="20"/>
                <w:szCs w:val="20"/>
              </w:rPr>
            </w:pPr>
          </w:p>
          <w:p w14:paraId="7C5E2AD0" w14:textId="3AB08588"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14:paraId="0A724ED3" w14:textId="77777777" w:rsidTr="005D6673">
        <w:tc>
          <w:tcPr>
            <w:tcW w:w="2978" w:type="dxa"/>
            <w:tcBorders>
              <w:bottom w:val="single" w:sz="4" w:space="0" w:color="FFFFFF" w:themeColor="background1"/>
            </w:tcBorders>
          </w:tcPr>
          <w:p w14:paraId="008A4466" w14:textId="77777777" w:rsidR="00DC1C36" w:rsidRPr="001E08BE" w:rsidRDefault="00DC1C36" w:rsidP="001E08BE">
            <w:pPr>
              <w:jc w:val="both"/>
              <w:rPr>
                <w:rFonts w:ascii="Arial" w:hAnsi="Arial" w:cs="Arial"/>
                <w:b/>
                <w:bCs/>
                <w:sz w:val="20"/>
                <w:szCs w:val="20"/>
                <w:lang w:eastAsia="en-AU"/>
              </w:rPr>
            </w:pPr>
            <w:r w:rsidRPr="001E08BE">
              <w:rPr>
                <w:rFonts w:ascii="Arial" w:hAnsi="Arial" w:cs="Arial"/>
                <w:b/>
                <w:bCs/>
                <w:sz w:val="20"/>
                <w:szCs w:val="20"/>
                <w:lang w:eastAsia="en-AU"/>
              </w:rPr>
              <w:t xml:space="preserve">4. Residential Dwelling Controls </w:t>
            </w:r>
          </w:p>
          <w:p w14:paraId="59AE12E2" w14:textId="77777777" w:rsidR="00DC1C36" w:rsidRDefault="00DC1C36" w:rsidP="009248D0">
            <w:pPr>
              <w:jc w:val="both"/>
              <w:rPr>
                <w:rFonts w:ascii="Arial" w:hAnsi="Arial" w:cs="Arial"/>
                <w:i/>
                <w:iCs/>
                <w:sz w:val="20"/>
                <w:szCs w:val="20"/>
                <w:lang w:eastAsia="en-AU"/>
              </w:rPr>
            </w:pPr>
            <w:r w:rsidRPr="001E08BE">
              <w:rPr>
                <w:rFonts w:ascii="Arial" w:hAnsi="Arial" w:cs="Arial"/>
                <w:i/>
                <w:iCs/>
                <w:sz w:val="20"/>
                <w:szCs w:val="20"/>
                <w:lang w:eastAsia="en-AU"/>
              </w:rPr>
              <w:t>All residential flat buildings and shop top housing are to be consistent with the design quality principles outlined in </w:t>
            </w:r>
            <w:hyperlink r:id="rId9" w:anchor="/view/EPI/2002/530" w:tgtFrame="_blank" w:tooltip="SEPP No 65 - Design Quality of Residential Apartment Development" w:history="1">
              <w:r w:rsidRPr="001E08BE">
                <w:rPr>
                  <w:rFonts w:ascii="Arial" w:hAnsi="Arial" w:cs="Arial"/>
                  <w:i/>
                  <w:iCs/>
                  <w:sz w:val="20"/>
                  <w:szCs w:val="20"/>
                  <w:lang w:eastAsia="en-AU"/>
                </w:rPr>
                <w:t>SEPP No. 65</w:t>
              </w:r>
            </w:hyperlink>
            <w:r w:rsidRPr="001E08BE">
              <w:rPr>
                <w:rFonts w:ascii="Arial" w:hAnsi="Arial" w:cs="Arial"/>
                <w:i/>
                <w:iCs/>
                <w:sz w:val="20"/>
                <w:szCs w:val="20"/>
                <w:lang w:eastAsia="en-AU"/>
              </w:rPr>
              <w:t> and the objectives, design criteria and design guidance outlined in the Apartment Design Guide (or equivalent).</w:t>
            </w:r>
          </w:p>
          <w:p w14:paraId="3DEF1F2B" w14:textId="536EBC98" w:rsidR="00F6462D" w:rsidRPr="009248D0" w:rsidRDefault="00F6462D" w:rsidP="009248D0">
            <w:pPr>
              <w:jc w:val="both"/>
              <w:rPr>
                <w:rFonts w:ascii="Arial" w:eastAsia="Times New Roman" w:hAnsi="Arial" w:cs="Arial"/>
                <w:b/>
                <w:bCs/>
                <w:i/>
                <w:iCs/>
                <w:kern w:val="0"/>
                <w:sz w:val="20"/>
                <w:szCs w:val="20"/>
                <w:lang w:eastAsia="en-AU"/>
                <w14:ligatures w14:val="none"/>
              </w:rPr>
            </w:pPr>
          </w:p>
        </w:tc>
        <w:tc>
          <w:tcPr>
            <w:tcW w:w="4575" w:type="dxa"/>
            <w:tcBorders>
              <w:bottom w:val="single" w:sz="4" w:space="0" w:color="FFFFFF"/>
            </w:tcBorders>
          </w:tcPr>
          <w:p w14:paraId="03268524" w14:textId="77777777" w:rsidR="00F6462D" w:rsidRDefault="00F6462D">
            <w:pPr>
              <w:rPr>
                <w:rFonts w:ascii="Arial" w:hAnsi="Arial" w:cs="Arial"/>
              </w:rPr>
            </w:pPr>
          </w:p>
          <w:p w14:paraId="42CB943F" w14:textId="77777777" w:rsidR="00F6462D" w:rsidRDefault="00F6462D">
            <w:pPr>
              <w:rPr>
                <w:rFonts w:ascii="Arial" w:hAnsi="Arial" w:cs="Arial"/>
              </w:rPr>
            </w:pPr>
          </w:p>
          <w:p w14:paraId="198B91AF" w14:textId="331759E3" w:rsidR="00F6462D" w:rsidRPr="009D6FB3" w:rsidRDefault="00F6462D" w:rsidP="00F6462D">
            <w:pPr>
              <w:jc w:val="both"/>
              <w:rPr>
                <w:rFonts w:ascii="Arial" w:hAnsi="Arial" w:cs="Arial"/>
              </w:rPr>
            </w:pPr>
            <w:r w:rsidRPr="00F6462D">
              <w:rPr>
                <w:rFonts w:ascii="Arial" w:hAnsi="Arial" w:cs="Arial"/>
                <w:sz w:val="20"/>
                <w:szCs w:val="20"/>
              </w:rPr>
              <w:t>A detailed assessment against SEPP 65</w:t>
            </w:r>
            <w:r>
              <w:rPr>
                <w:rFonts w:ascii="Arial" w:hAnsi="Arial" w:cs="Arial"/>
                <w:sz w:val="20"/>
                <w:szCs w:val="20"/>
              </w:rPr>
              <w:t xml:space="preserve"> and the Apartment Design Guideline</w:t>
            </w:r>
            <w:r w:rsidRPr="00F6462D">
              <w:rPr>
                <w:rFonts w:ascii="Arial" w:hAnsi="Arial" w:cs="Arial"/>
                <w:sz w:val="20"/>
                <w:szCs w:val="20"/>
              </w:rPr>
              <w:t xml:space="preserve"> is provided as a separate attachment, demonstrating compliance has generally been achieved. </w:t>
            </w:r>
          </w:p>
        </w:tc>
        <w:tc>
          <w:tcPr>
            <w:tcW w:w="1463" w:type="dxa"/>
            <w:tcBorders>
              <w:bottom w:val="single" w:sz="4" w:space="0" w:color="FFFFFF"/>
            </w:tcBorders>
          </w:tcPr>
          <w:p w14:paraId="774311C9" w14:textId="77777777" w:rsidR="00DC1C36" w:rsidRPr="005D6673" w:rsidRDefault="00DC1C36" w:rsidP="005D6673">
            <w:pPr>
              <w:jc w:val="center"/>
              <w:rPr>
                <w:rFonts w:ascii="Arial" w:hAnsi="Arial" w:cs="Arial"/>
                <w:sz w:val="20"/>
                <w:szCs w:val="20"/>
              </w:rPr>
            </w:pPr>
          </w:p>
          <w:p w14:paraId="37F0889F" w14:textId="77777777" w:rsidR="005D6673" w:rsidRPr="005D6673" w:rsidRDefault="005D6673" w:rsidP="005D6673">
            <w:pPr>
              <w:jc w:val="center"/>
              <w:rPr>
                <w:rFonts w:ascii="Arial" w:hAnsi="Arial" w:cs="Arial"/>
                <w:sz w:val="20"/>
                <w:szCs w:val="20"/>
              </w:rPr>
            </w:pPr>
          </w:p>
          <w:p w14:paraId="1A60B0FB" w14:textId="20FF7997" w:rsidR="005D6673"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1F282704" w14:textId="77777777" w:rsidTr="00F6462D">
        <w:tc>
          <w:tcPr>
            <w:tcW w:w="2978" w:type="dxa"/>
            <w:tcBorders>
              <w:top w:val="single" w:sz="4" w:space="0" w:color="FFFFFF" w:themeColor="background1"/>
              <w:bottom w:val="single" w:sz="4" w:space="0" w:color="FFFFFF"/>
            </w:tcBorders>
          </w:tcPr>
          <w:p w14:paraId="2FB777DE" w14:textId="47D23384"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In addition to the controls in this section, the controls within Part 2 General Land Use Controls of this DCP must also be taken into consideration when preparing a development application for residential flat buildings.</w:t>
            </w:r>
          </w:p>
        </w:tc>
        <w:tc>
          <w:tcPr>
            <w:tcW w:w="4575" w:type="dxa"/>
            <w:tcBorders>
              <w:top w:val="single" w:sz="4" w:space="0" w:color="FFFFFF"/>
              <w:bottom w:val="single" w:sz="4" w:space="0" w:color="FFFFFF"/>
            </w:tcBorders>
          </w:tcPr>
          <w:p w14:paraId="2C7E4FE6" w14:textId="360EC4F8" w:rsidR="00DC1C36" w:rsidRPr="00B40657" w:rsidRDefault="00F6462D" w:rsidP="001E08BE">
            <w:pPr>
              <w:jc w:val="both"/>
              <w:rPr>
                <w:rFonts w:ascii="Arial" w:hAnsi="Arial" w:cs="Arial"/>
                <w:sz w:val="20"/>
                <w:szCs w:val="20"/>
              </w:rPr>
            </w:pPr>
            <w:r w:rsidRPr="00B40657">
              <w:rPr>
                <w:rFonts w:ascii="Arial" w:hAnsi="Arial" w:cs="Arial"/>
                <w:sz w:val="20"/>
                <w:szCs w:val="20"/>
              </w:rPr>
              <w:t xml:space="preserve">A detailed assessment is provided above against Section 2 of the Camden DCP. As noted above, compliance has been achieved </w:t>
            </w:r>
            <w:r w:rsidR="00B40657" w:rsidRPr="00B40657">
              <w:rPr>
                <w:rFonts w:ascii="Arial" w:hAnsi="Arial" w:cs="Arial"/>
                <w:sz w:val="20"/>
                <w:szCs w:val="20"/>
              </w:rPr>
              <w:t xml:space="preserve">against the relevant matters contained under Section 2 of the Camden DCP. Standard conditions are recommended to ensure ongoing compliance. </w:t>
            </w:r>
          </w:p>
        </w:tc>
        <w:tc>
          <w:tcPr>
            <w:tcW w:w="1463" w:type="dxa"/>
            <w:tcBorders>
              <w:top w:val="single" w:sz="4" w:space="0" w:color="FFFFFF"/>
              <w:bottom w:val="single" w:sz="4" w:space="0" w:color="FFFFFF"/>
            </w:tcBorders>
          </w:tcPr>
          <w:p w14:paraId="04CBF2A4" w14:textId="03E85EC4"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16DDD1C5" w14:textId="77777777" w:rsidTr="00F6462D">
        <w:tc>
          <w:tcPr>
            <w:tcW w:w="2978" w:type="dxa"/>
            <w:tcBorders>
              <w:top w:val="single" w:sz="4" w:space="0" w:color="FFFFFF"/>
              <w:bottom w:val="single" w:sz="4" w:space="0" w:color="FFFFFF"/>
            </w:tcBorders>
          </w:tcPr>
          <w:p w14:paraId="43D1747C" w14:textId="6EF5E168"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Residential flat buildings are to be located on sites with a minimum street frontage of 30m and have direct frontage to an area of the public domain (including streets and public parks).</w:t>
            </w:r>
          </w:p>
        </w:tc>
        <w:tc>
          <w:tcPr>
            <w:tcW w:w="4575" w:type="dxa"/>
            <w:tcBorders>
              <w:top w:val="single" w:sz="4" w:space="0" w:color="FFFFFF"/>
              <w:bottom w:val="single" w:sz="4" w:space="0" w:color="FFFFFF"/>
            </w:tcBorders>
          </w:tcPr>
          <w:p w14:paraId="556E7FEE" w14:textId="416881C9" w:rsidR="00B40657" w:rsidRPr="00B40657" w:rsidRDefault="00B40657" w:rsidP="00B40657">
            <w:pPr>
              <w:jc w:val="both"/>
              <w:rPr>
                <w:rFonts w:ascii="Arial" w:hAnsi="Arial" w:cs="Arial"/>
                <w:sz w:val="20"/>
                <w:szCs w:val="20"/>
              </w:rPr>
            </w:pPr>
            <w:r>
              <w:rPr>
                <w:rFonts w:ascii="Arial" w:hAnsi="Arial" w:cs="Arial"/>
                <w:sz w:val="20"/>
                <w:szCs w:val="20"/>
              </w:rPr>
              <w:t xml:space="preserve">The development site has a frontage of 81m (approximately) to Holstein Street and South Circuit) and 58m (approximately) to Dairy Street and Civic Way. </w:t>
            </w:r>
          </w:p>
        </w:tc>
        <w:tc>
          <w:tcPr>
            <w:tcW w:w="1463" w:type="dxa"/>
            <w:tcBorders>
              <w:top w:val="single" w:sz="4" w:space="0" w:color="FFFFFF"/>
              <w:bottom w:val="single" w:sz="4" w:space="0" w:color="FFFFFF"/>
            </w:tcBorders>
          </w:tcPr>
          <w:p w14:paraId="0B2EA0DC" w14:textId="04882E91"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6FA04A81" w14:textId="77777777" w:rsidTr="00F6462D">
        <w:tc>
          <w:tcPr>
            <w:tcW w:w="2978" w:type="dxa"/>
            <w:tcBorders>
              <w:top w:val="single" w:sz="4" w:space="0" w:color="FFFFFF"/>
              <w:bottom w:val="single" w:sz="4" w:space="0" w:color="FFFFFF"/>
            </w:tcBorders>
          </w:tcPr>
          <w:p w14:paraId="6A3A19FE" w14:textId="35E655DA"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Residential flat buildings are not to adversely impact upon the existing or future amenity of any adjoining land upon which residential development is permitted with respect to overshadowing impact, privacy impact or visual impact.</w:t>
            </w:r>
          </w:p>
        </w:tc>
        <w:tc>
          <w:tcPr>
            <w:tcW w:w="4575" w:type="dxa"/>
            <w:tcBorders>
              <w:top w:val="single" w:sz="4" w:space="0" w:color="FFFFFF"/>
              <w:bottom w:val="single" w:sz="4" w:space="0" w:color="FFFFFF"/>
            </w:tcBorders>
          </w:tcPr>
          <w:p w14:paraId="52042387" w14:textId="203EE15C" w:rsidR="00DC1C36" w:rsidRPr="00B40657" w:rsidRDefault="00B40657" w:rsidP="001E08BE">
            <w:pPr>
              <w:jc w:val="both"/>
              <w:rPr>
                <w:rFonts w:ascii="Arial" w:hAnsi="Arial" w:cs="Arial"/>
                <w:sz w:val="20"/>
                <w:szCs w:val="20"/>
              </w:rPr>
            </w:pPr>
            <w:r>
              <w:rPr>
                <w:rFonts w:ascii="Arial" w:hAnsi="Arial" w:cs="Arial"/>
                <w:sz w:val="20"/>
                <w:szCs w:val="20"/>
              </w:rPr>
              <w:t xml:space="preserve">As noted, the development site forms part of the Oran Park Town Centre which is envisioned for higher density development that will contribute to the overall vitality. </w:t>
            </w:r>
          </w:p>
        </w:tc>
        <w:tc>
          <w:tcPr>
            <w:tcW w:w="1463" w:type="dxa"/>
            <w:tcBorders>
              <w:top w:val="single" w:sz="4" w:space="0" w:color="FFFFFF"/>
              <w:bottom w:val="single" w:sz="4" w:space="0" w:color="FFFFFF"/>
            </w:tcBorders>
          </w:tcPr>
          <w:p w14:paraId="03D3CE5C" w14:textId="1B66974E"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2B6CC291" w14:textId="77777777" w:rsidTr="00F6462D">
        <w:tc>
          <w:tcPr>
            <w:tcW w:w="2978" w:type="dxa"/>
            <w:tcBorders>
              <w:top w:val="single" w:sz="4" w:space="0" w:color="FFFFFF"/>
              <w:bottom w:val="single" w:sz="4" w:space="0" w:color="FFFFFF"/>
            </w:tcBorders>
          </w:tcPr>
          <w:p w14:paraId="52B0DC06" w14:textId="65F5B3CF" w:rsidR="00DC1C36" w:rsidRDefault="00DC1C36" w:rsidP="00B40657">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lastRenderedPageBreak/>
              <w:t xml:space="preserve">A minimum of 10% of all residential flat building developments containing 10 dwellings or more, are to be designed to be capable of adaptation for access by people with all levels of mobility. </w:t>
            </w:r>
          </w:p>
          <w:p w14:paraId="27CDB7EA" w14:textId="2CE574A9" w:rsidR="00B40657" w:rsidRPr="00B40657" w:rsidRDefault="00B40657" w:rsidP="00B40657">
            <w:pPr>
              <w:jc w:val="both"/>
              <w:rPr>
                <w:rFonts w:ascii="Arial" w:hAnsi="Arial" w:cs="Arial"/>
                <w:i/>
                <w:iCs/>
                <w:sz w:val="20"/>
                <w:szCs w:val="20"/>
                <w:shd w:val="clear" w:color="auto" w:fill="FFFFFF"/>
              </w:rPr>
            </w:pPr>
          </w:p>
        </w:tc>
        <w:tc>
          <w:tcPr>
            <w:tcW w:w="4575" w:type="dxa"/>
            <w:tcBorders>
              <w:top w:val="single" w:sz="4" w:space="0" w:color="FFFFFF"/>
              <w:bottom w:val="single" w:sz="4" w:space="0" w:color="FFFFFF"/>
            </w:tcBorders>
          </w:tcPr>
          <w:p w14:paraId="1A1564F3" w14:textId="10D6A3E4" w:rsidR="00DC1C36" w:rsidRPr="00B40657" w:rsidRDefault="00B40657" w:rsidP="001E08BE">
            <w:pPr>
              <w:jc w:val="both"/>
              <w:rPr>
                <w:rFonts w:ascii="Arial" w:hAnsi="Arial" w:cs="Arial"/>
                <w:sz w:val="20"/>
                <w:szCs w:val="20"/>
              </w:rPr>
            </w:pPr>
            <w:r>
              <w:rPr>
                <w:rFonts w:ascii="Arial" w:hAnsi="Arial" w:cs="Arial"/>
                <w:sz w:val="20"/>
                <w:szCs w:val="20"/>
              </w:rPr>
              <w:t xml:space="preserve">Of the units proposed, 18 </w:t>
            </w:r>
            <w:r w:rsidR="00C176FD">
              <w:rPr>
                <w:rFonts w:ascii="Arial" w:hAnsi="Arial" w:cs="Arial"/>
                <w:sz w:val="20"/>
                <w:szCs w:val="20"/>
              </w:rPr>
              <w:t>are</w:t>
            </w:r>
            <w:r>
              <w:rPr>
                <w:rFonts w:ascii="Arial" w:hAnsi="Arial" w:cs="Arial"/>
                <w:sz w:val="20"/>
                <w:szCs w:val="20"/>
              </w:rPr>
              <w:t xml:space="preserve"> designed</w:t>
            </w:r>
            <w:r w:rsidR="00C176FD">
              <w:rPr>
                <w:rFonts w:ascii="Arial" w:hAnsi="Arial" w:cs="Arial"/>
                <w:sz w:val="20"/>
                <w:szCs w:val="20"/>
              </w:rPr>
              <w:t xml:space="preserve"> to be capable </w:t>
            </w:r>
            <w:r w:rsidR="00C176FD" w:rsidRPr="00C176FD">
              <w:rPr>
                <w:rFonts w:ascii="Arial" w:hAnsi="Arial" w:cs="Arial"/>
                <w:sz w:val="20"/>
                <w:szCs w:val="20"/>
              </w:rPr>
              <w:t>of adaption for access by people</w:t>
            </w:r>
            <w:r w:rsidRPr="00C176FD">
              <w:rPr>
                <w:rFonts w:ascii="Arial" w:hAnsi="Arial" w:cs="Arial"/>
                <w:sz w:val="20"/>
                <w:szCs w:val="20"/>
              </w:rPr>
              <w:t xml:space="preserve"> with all levels of mobility. </w:t>
            </w:r>
            <w:r>
              <w:rPr>
                <w:rFonts w:ascii="Arial" w:hAnsi="Arial" w:cs="Arial"/>
                <w:sz w:val="20"/>
                <w:szCs w:val="20"/>
              </w:rPr>
              <w:t>In addition, an accessible car parking space has been allocated to these units. T</w:t>
            </w:r>
            <w:r w:rsidR="004F5EAB">
              <w:rPr>
                <w:rFonts w:ascii="Arial" w:hAnsi="Arial" w:cs="Arial"/>
                <w:sz w:val="20"/>
                <w:szCs w:val="20"/>
              </w:rPr>
              <w:t>o</w:t>
            </w:r>
            <w:r>
              <w:rPr>
                <w:rFonts w:ascii="Arial" w:hAnsi="Arial" w:cs="Arial"/>
                <w:sz w:val="20"/>
                <w:szCs w:val="20"/>
              </w:rPr>
              <w:t xml:space="preserve"> ensure ongoing compliance, standard conditions are recommended in the consent. </w:t>
            </w:r>
          </w:p>
        </w:tc>
        <w:tc>
          <w:tcPr>
            <w:tcW w:w="1463" w:type="dxa"/>
            <w:tcBorders>
              <w:top w:val="single" w:sz="4" w:space="0" w:color="FFFFFF"/>
              <w:bottom w:val="single" w:sz="4" w:space="0" w:color="FFFFFF"/>
            </w:tcBorders>
          </w:tcPr>
          <w:p w14:paraId="41CE890E" w14:textId="776F2E57"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09110755" w14:textId="77777777" w:rsidTr="00B40657">
        <w:tc>
          <w:tcPr>
            <w:tcW w:w="2978" w:type="dxa"/>
            <w:tcBorders>
              <w:top w:val="single" w:sz="4" w:space="0" w:color="FFFFFF"/>
              <w:bottom w:val="single" w:sz="4" w:space="0" w:color="FFFFFF"/>
            </w:tcBorders>
          </w:tcPr>
          <w:p w14:paraId="010E526F" w14:textId="77777777" w:rsidR="00DC1C36" w:rsidRDefault="00DC1C36" w:rsidP="001E08BE">
            <w:pPr>
              <w:jc w:val="both"/>
              <w:rPr>
                <w:rFonts w:ascii="Arial" w:hAnsi="Arial" w:cs="Arial"/>
                <w:i/>
                <w:iCs/>
                <w:sz w:val="20"/>
                <w:szCs w:val="20"/>
                <w:lang w:eastAsia="en-AU"/>
              </w:rPr>
            </w:pPr>
            <w:r w:rsidRPr="001E08BE">
              <w:rPr>
                <w:rFonts w:ascii="Arial" w:hAnsi="Arial" w:cs="Arial"/>
                <w:i/>
                <w:iCs/>
                <w:sz w:val="20"/>
                <w:szCs w:val="20"/>
                <w:lang w:eastAsia="en-AU"/>
              </w:rPr>
              <w:t>Where adaptable dwellings are proposed above the ground level, lift access must be provided. The lift access must provide access from the basement to allow access for people with disabilities.</w:t>
            </w:r>
          </w:p>
          <w:p w14:paraId="42ABA758" w14:textId="516D38DB" w:rsidR="00B40657" w:rsidRPr="001E08BE" w:rsidRDefault="00B40657" w:rsidP="001E08BE">
            <w:pPr>
              <w:jc w:val="both"/>
              <w:rPr>
                <w:rFonts w:ascii="Arial" w:hAnsi="Arial" w:cs="Arial"/>
                <w:i/>
                <w:iCs/>
                <w:sz w:val="20"/>
                <w:szCs w:val="20"/>
                <w:lang w:eastAsia="en-AU"/>
              </w:rPr>
            </w:pPr>
          </w:p>
        </w:tc>
        <w:tc>
          <w:tcPr>
            <w:tcW w:w="4575" w:type="dxa"/>
            <w:tcBorders>
              <w:top w:val="single" w:sz="4" w:space="0" w:color="FFFFFF"/>
              <w:bottom w:val="single" w:sz="4" w:space="0" w:color="FFFFFF"/>
            </w:tcBorders>
          </w:tcPr>
          <w:p w14:paraId="4E3FA3B9" w14:textId="685578C5" w:rsidR="00DC1C36" w:rsidRPr="00D44A6B" w:rsidRDefault="00101954" w:rsidP="001E08BE">
            <w:pPr>
              <w:jc w:val="both"/>
              <w:rPr>
                <w:rFonts w:ascii="Arial" w:hAnsi="Arial" w:cs="Arial"/>
                <w:sz w:val="20"/>
                <w:szCs w:val="20"/>
              </w:rPr>
            </w:pPr>
            <w:r w:rsidRPr="00D44A6B">
              <w:rPr>
                <w:rFonts w:ascii="Arial" w:hAnsi="Arial" w:cs="Arial"/>
                <w:sz w:val="20"/>
                <w:szCs w:val="20"/>
              </w:rPr>
              <w:t xml:space="preserve">Lift access is provided on all levels that provides direct access from the basement levels all the way to Level 6. </w:t>
            </w:r>
            <w:r w:rsidR="00D44A6B">
              <w:rPr>
                <w:rFonts w:ascii="Arial" w:hAnsi="Arial" w:cs="Arial"/>
                <w:sz w:val="20"/>
                <w:szCs w:val="20"/>
              </w:rPr>
              <w:t xml:space="preserve">The lift </w:t>
            </w:r>
            <w:proofErr w:type="gramStart"/>
            <w:r w:rsidR="00D44A6B">
              <w:rPr>
                <w:rFonts w:ascii="Arial" w:hAnsi="Arial" w:cs="Arial"/>
                <w:sz w:val="20"/>
                <w:szCs w:val="20"/>
              </w:rPr>
              <w:t>is able to</w:t>
            </w:r>
            <w:proofErr w:type="gramEnd"/>
            <w:r w:rsidR="00D44A6B">
              <w:rPr>
                <w:rFonts w:ascii="Arial" w:hAnsi="Arial" w:cs="Arial"/>
                <w:sz w:val="20"/>
                <w:szCs w:val="20"/>
              </w:rPr>
              <w:t xml:space="preserve"> accommodate people with disabilities. </w:t>
            </w:r>
          </w:p>
        </w:tc>
        <w:tc>
          <w:tcPr>
            <w:tcW w:w="1463" w:type="dxa"/>
            <w:tcBorders>
              <w:top w:val="single" w:sz="4" w:space="0" w:color="FFFFFF"/>
              <w:bottom w:val="single" w:sz="4" w:space="0" w:color="FFFFFF"/>
            </w:tcBorders>
          </w:tcPr>
          <w:p w14:paraId="7A78D85B" w14:textId="7F51AC3F"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6693DB76" w14:textId="77777777" w:rsidTr="00B40657">
        <w:tc>
          <w:tcPr>
            <w:tcW w:w="2978" w:type="dxa"/>
            <w:tcBorders>
              <w:top w:val="single" w:sz="4" w:space="0" w:color="FFFFFF"/>
              <w:bottom w:val="single" w:sz="4" w:space="0" w:color="FFFFFF"/>
            </w:tcBorders>
          </w:tcPr>
          <w:p w14:paraId="7D67C790" w14:textId="1ED187D4"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The development application must be accompanied by certification from a suitably qualified (and experienced) Access Consultant confirming that the adaptable dwellings are capable of being modified, when required by the occupant, to comply with the Australian Adaptable Housing Standard (AS 4299-1995).</w:t>
            </w:r>
          </w:p>
        </w:tc>
        <w:tc>
          <w:tcPr>
            <w:tcW w:w="4575" w:type="dxa"/>
            <w:tcBorders>
              <w:top w:val="single" w:sz="4" w:space="0" w:color="FFFFFF"/>
              <w:bottom w:val="single" w:sz="4" w:space="0" w:color="FFFFFF"/>
            </w:tcBorders>
          </w:tcPr>
          <w:p w14:paraId="115FD8B3" w14:textId="0738304F" w:rsidR="00DC1C36" w:rsidRPr="00D44A6B" w:rsidRDefault="00D44A6B" w:rsidP="001E08BE">
            <w:pPr>
              <w:jc w:val="both"/>
              <w:rPr>
                <w:rFonts w:ascii="Arial" w:hAnsi="Arial" w:cs="Arial"/>
                <w:sz w:val="20"/>
                <w:szCs w:val="20"/>
              </w:rPr>
            </w:pPr>
            <w:r>
              <w:rPr>
                <w:rFonts w:ascii="Arial" w:hAnsi="Arial" w:cs="Arial"/>
                <w:sz w:val="20"/>
                <w:szCs w:val="20"/>
              </w:rPr>
              <w:t>The DA was accompanied by a BCA Capability Report which has been reviewed by Council</w:t>
            </w:r>
            <w:r w:rsidR="004F5EAB">
              <w:rPr>
                <w:rFonts w:ascii="Arial" w:hAnsi="Arial" w:cs="Arial"/>
                <w:sz w:val="20"/>
                <w:szCs w:val="20"/>
              </w:rPr>
              <w:t>’</w:t>
            </w:r>
            <w:r>
              <w:rPr>
                <w:rFonts w:ascii="Arial" w:hAnsi="Arial" w:cs="Arial"/>
                <w:sz w:val="20"/>
                <w:szCs w:val="20"/>
              </w:rPr>
              <w:t xml:space="preserve">s Building Certification team. No concerns were raised, subject to the imposition of recommended conditions of consent. </w:t>
            </w:r>
          </w:p>
        </w:tc>
        <w:tc>
          <w:tcPr>
            <w:tcW w:w="1463" w:type="dxa"/>
            <w:tcBorders>
              <w:top w:val="single" w:sz="4" w:space="0" w:color="FFFFFF"/>
              <w:bottom w:val="single" w:sz="4" w:space="0" w:color="FFFFFF"/>
            </w:tcBorders>
          </w:tcPr>
          <w:p w14:paraId="25090865" w14:textId="7B49FBC6"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2D529ACB" w14:textId="77777777" w:rsidTr="00F6462D">
        <w:tc>
          <w:tcPr>
            <w:tcW w:w="2978" w:type="dxa"/>
            <w:tcBorders>
              <w:top w:val="single" w:sz="4" w:space="0" w:color="FFFFFF"/>
              <w:bottom w:val="single" w:sz="4" w:space="0" w:color="FFFFFF"/>
            </w:tcBorders>
          </w:tcPr>
          <w:p w14:paraId="34371607" w14:textId="31537E4A"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Car parking and garages allocated to adaptable dwellings must comply with the requirements of Australian Standards for disabled parking spaces.</w:t>
            </w:r>
          </w:p>
        </w:tc>
        <w:tc>
          <w:tcPr>
            <w:tcW w:w="4575" w:type="dxa"/>
            <w:tcBorders>
              <w:top w:val="single" w:sz="4" w:space="0" w:color="FFFFFF"/>
              <w:bottom w:val="single" w:sz="4" w:space="0" w:color="FFFFFF"/>
            </w:tcBorders>
          </w:tcPr>
          <w:p w14:paraId="4054D087" w14:textId="768D2FFA" w:rsidR="00DC1C36" w:rsidRPr="00D44A6B" w:rsidRDefault="00D44A6B" w:rsidP="001E08BE">
            <w:pPr>
              <w:jc w:val="both"/>
              <w:rPr>
                <w:rFonts w:ascii="Arial" w:hAnsi="Arial" w:cs="Arial"/>
                <w:sz w:val="20"/>
                <w:szCs w:val="20"/>
              </w:rPr>
            </w:pPr>
            <w:r w:rsidRPr="00D44A6B">
              <w:rPr>
                <w:rFonts w:ascii="Arial" w:hAnsi="Arial" w:cs="Arial"/>
                <w:sz w:val="20"/>
                <w:szCs w:val="20"/>
              </w:rPr>
              <w:t xml:space="preserve">Standard conditions are recommended in the consent to ensure ongoing compliance with the relevant Australian Standards. </w:t>
            </w:r>
          </w:p>
        </w:tc>
        <w:tc>
          <w:tcPr>
            <w:tcW w:w="1463" w:type="dxa"/>
            <w:tcBorders>
              <w:top w:val="single" w:sz="4" w:space="0" w:color="FFFFFF"/>
              <w:bottom w:val="single" w:sz="4" w:space="0" w:color="FFFFFF"/>
            </w:tcBorders>
          </w:tcPr>
          <w:p w14:paraId="10D0978C" w14:textId="604CC3C1"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29642C3C" w14:textId="77777777" w:rsidTr="00F6462D">
        <w:tc>
          <w:tcPr>
            <w:tcW w:w="2978" w:type="dxa"/>
            <w:tcBorders>
              <w:top w:val="single" w:sz="4" w:space="0" w:color="FFFFFF"/>
              <w:bottom w:val="single" w:sz="4" w:space="0" w:color="FFFFFF"/>
            </w:tcBorders>
          </w:tcPr>
          <w:p w14:paraId="7269D40D" w14:textId="606DB01F"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The proposed development should be designed to comply with ‘Safer By Design’ Guidelines.</w:t>
            </w:r>
          </w:p>
        </w:tc>
        <w:tc>
          <w:tcPr>
            <w:tcW w:w="4575" w:type="dxa"/>
            <w:tcBorders>
              <w:top w:val="single" w:sz="4" w:space="0" w:color="FFFFFF"/>
              <w:bottom w:val="single" w:sz="4" w:space="0" w:color="FFFFFF"/>
            </w:tcBorders>
          </w:tcPr>
          <w:p w14:paraId="60F8F546" w14:textId="6693429B" w:rsidR="00DC1C36" w:rsidRPr="001E08BE" w:rsidRDefault="00D44A6B" w:rsidP="001E08BE">
            <w:pPr>
              <w:jc w:val="both"/>
              <w:rPr>
                <w:rFonts w:ascii="Arial" w:hAnsi="Arial" w:cs="Arial"/>
                <w:i/>
                <w:iCs/>
                <w:sz w:val="20"/>
                <w:szCs w:val="20"/>
              </w:rPr>
            </w:pPr>
            <w:r w:rsidRPr="00D44A6B">
              <w:rPr>
                <w:rFonts w:ascii="Arial" w:hAnsi="Arial" w:cs="Arial"/>
                <w:sz w:val="20"/>
                <w:szCs w:val="20"/>
              </w:rPr>
              <w:t>Standard conditions are recommended in the consent to ensure ongoing compliance with the r</w:t>
            </w:r>
            <w:r>
              <w:rPr>
                <w:rFonts w:ascii="Arial" w:hAnsi="Arial" w:cs="Arial"/>
                <w:sz w:val="20"/>
                <w:szCs w:val="20"/>
              </w:rPr>
              <w:t xml:space="preserve">ecommendations provided by the Camden Police Area Command. </w:t>
            </w:r>
          </w:p>
        </w:tc>
        <w:tc>
          <w:tcPr>
            <w:tcW w:w="1463" w:type="dxa"/>
            <w:tcBorders>
              <w:top w:val="single" w:sz="4" w:space="0" w:color="FFFFFF"/>
              <w:bottom w:val="single" w:sz="4" w:space="0" w:color="FFFFFF"/>
            </w:tcBorders>
          </w:tcPr>
          <w:p w14:paraId="49E676B0" w14:textId="7BFEA172"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63A9DCF3" w14:textId="77777777" w:rsidTr="00F6462D">
        <w:tc>
          <w:tcPr>
            <w:tcW w:w="2978" w:type="dxa"/>
            <w:tcBorders>
              <w:top w:val="single" w:sz="4" w:space="0" w:color="FFFFFF"/>
              <w:bottom w:val="single" w:sz="4" w:space="0" w:color="FFFFFF"/>
            </w:tcBorders>
          </w:tcPr>
          <w:p w14:paraId="04606803" w14:textId="7A2CE311"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Each dwelling must be provided with a separate secure storage space of 8m</w:t>
            </w:r>
            <w:r w:rsidRPr="001E08BE">
              <w:rPr>
                <w:rFonts w:ascii="Arial" w:hAnsi="Arial" w:cs="Arial"/>
                <w:i/>
                <w:iCs/>
                <w:sz w:val="20"/>
                <w:szCs w:val="20"/>
                <w:vertAlign w:val="superscript"/>
                <w:lang w:eastAsia="en-AU"/>
              </w:rPr>
              <w:t>3</w:t>
            </w:r>
            <w:r w:rsidRPr="001E08BE">
              <w:rPr>
                <w:rFonts w:ascii="Arial" w:hAnsi="Arial" w:cs="Arial"/>
                <w:i/>
                <w:iCs/>
                <w:sz w:val="20"/>
                <w:szCs w:val="20"/>
                <w:lang w:eastAsia="en-AU"/>
              </w:rPr>
              <w:t xml:space="preserve">. </w:t>
            </w:r>
          </w:p>
        </w:tc>
        <w:tc>
          <w:tcPr>
            <w:tcW w:w="4575" w:type="dxa"/>
            <w:tcBorders>
              <w:top w:val="single" w:sz="4" w:space="0" w:color="FFFFFF"/>
              <w:bottom w:val="single" w:sz="4" w:space="0" w:color="FFFFFF"/>
            </w:tcBorders>
          </w:tcPr>
          <w:p w14:paraId="0182E581" w14:textId="13D1FEE9" w:rsidR="00DC1C36" w:rsidRPr="00D44A6B" w:rsidRDefault="00D44A6B" w:rsidP="001E08BE">
            <w:pPr>
              <w:jc w:val="both"/>
              <w:rPr>
                <w:rFonts w:ascii="Arial" w:hAnsi="Arial" w:cs="Arial"/>
                <w:sz w:val="20"/>
                <w:szCs w:val="20"/>
              </w:rPr>
            </w:pPr>
            <w:r>
              <w:rPr>
                <w:rFonts w:ascii="Arial" w:hAnsi="Arial" w:cs="Arial"/>
                <w:sz w:val="20"/>
                <w:szCs w:val="20"/>
              </w:rPr>
              <w:t xml:space="preserve">Information and details provided with the DA indicates that all units will achieve the minimum required storage space, as indicated in the ADG. </w:t>
            </w:r>
          </w:p>
        </w:tc>
        <w:tc>
          <w:tcPr>
            <w:tcW w:w="1463" w:type="dxa"/>
            <w:tcBorders>
              <w:top w:val="single" w:sz="4" w:space="0" w:color="FFFFFF"/>
              <w:bottom w:val="single" w:sz="4" w:space="0" w:color="FFFFFF"/>
            </w:tcBorders>
          </w:tcPr>
          <w:p w14:paraId="15AB3200" w14:textId="58E7633F"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43BDDFEF" w14:textId="77777777" w:rsidTr="00F6462D">
        <w:tc>
          <w:tcPr>
            <w:tcW w:w="2978" w:type="dxa"/>
            <w:tcBorders>
              <w:top w:val="single" w:sz="4" w:space="0" w:color="FFFFFF"/>
              <w:bottom w:val="single" w:sz="4" w:space="0" w:color="FFFFFF"/>
            </w:tcBorders>
          </w:tcPr>
          <w:p w14:paraId="3C65F3EF" w14:textId="77777777" w:rsidR="00DC1C36" w:rsidRDefault="00DC1C36" w:rsidP="001E08BE">
            <w:pPr>
              <w:jc w:val="both"/>
              <w:rPr>
                <w:rFonts w:ascii="Arial" w:hAnsi="Arial" w:cs="Arial"/>
                <w:i/>
                <w:iCs/>
                <w:sz w:val="20"/>
                <w:szCs w:val="20"/>
                <w:lang w:eastAsia="en-AU"/>
              </w:rPr>
            </w:pPr>
            <w:r w:rsidRPr="001E08BE">
              <w:rPr>
                <w:rFonts w:ascii="Arial" w:hAnsi="Arial" w:cs="Arial"/>
                <w:i/>
                <w:iCs/>
                <w:sz w:val="20"/>
                <w:szCs w:val="20"/>
                <w:lang w:eastAsia="en-AU"/>
              </w:rPr>
              <w:t>The maximum height of buildings is established by Clauses 4.3A, 4.3B and 4.3C of CLEP 2010 and the associated Height of Buildings Map.</w:t>
            </w:r>
          </w:p>
          <w:p w14:paraId="05492953" w14:textId="77777777" w:rsidR="00DC1C36" w:rsidRPr="001E08BE" w:rsidRDefault="00DC1C36" w:rsidP="001E08BE">
            <w:pPr>
              <w:jc w:val="both"/>
              <w:rPr>
                <w:rFonts w:ascii="Arial" w:hAnsi="Arial" w:cs="Arial"/>
                <w:i/>
                <w:iCs/>
                <w:sz w:val="20"/>
                <w:szCs w:val="20"/>
                <w:lang w:eastAsia="en-AU"/>
              </w:rPr>
            </w:pPr>
          </w:p>
        </w:tc>
        <w:tc>
          <w:tcPr>
            <w:tcW w:w="4575" w:type="dxa"/>
            <w:tcBorders>
              <w:top w:val="single" w:sz="4" w:space="0" w:color="FFFFFF"/>
              <w:bottom w:val="single" w:sz="4" w:space="0" w:color="FFFFFF"/>
            </w:tcBorders>
          </w:tcPr>
          <w:p w14:paraId="62C31AAF" w14:textId="4B5430AA" w:rsidR="00DC1C36" w:rsidRPr="00D44A6B" w:rsidRDefault="00D44A6B" w:rsidP="001E08BE">
            <w:pPr>
              <w:jc w:val="both"/>
              <w:rPr>
                <w:rFonts w:ascii="Arial" w:hAnsi="Arial" w:cs="Arial"/>
                <w:sz w:val="20"/>
                <w:szCs w:val="20"/>
              </w:rPr>
            </w:pPr>
            <w:r>
              <w:rPr>
                <w:rFonts w:ascii="Arial" w:hAnsi="Arial" w:cs="Arial"/>
                <w:sz w:val="20"/>
                <w:szCs w:val="20"/>
              </w:rPr>
              <w:t xml:space="preserve">As noted in the main assessment report, a variation to Section 4.3 of the Precinct SEPP is sought. A detailed assessment is provided as a separate attachment. </w:t>
            </w:r>
          </w:p>
        </w:tc>
        <w:tc>
          <w:tcPr>
            <w:tcW w:w="1463" w:type="dxa"/>
            <w:tcBorders>
              <w:top w:val="single" w:sz="4" w:space="0" w:color="FFFFFF"/>
              <w:bottom w:val="single" w:sz="4" w:space="0" w:color="FFFFFF"/>
            </w:tcBorders>
          </w:tcPr>
          <w:p w14:paraId="71E39AFD" w14:textId="0C3EB480" w:rsidR="00DC1C36" w:rsidRPr="005D6673" w:rsidRDefault="00D44A6B" w:rsidP="005D6673">
            <w:pPr>
              <w:jc w:val="center"/>
              <w:rPr>
                <w:rFonts w:ascii="Arial" w:hAnsi="Arial" w:cs="Arial"/>
                <w:sz w:val="20"/>
                <w:szCs w:val="20"/>
              </w:rPr>
            </w:pPr>
            <w:r w:rsidRPr="005D6673">
              <w:rPr>
                <w:rFonts w:ascii="Arial" w:hAnsi="Arial" w:cs="Arial"/>
                <w:sz w:val="20"/>
                <w:szCs w:val="20"/>
              </w:rPr>
              <w:t>Subject to a merit assessment.</w:t>
            </w:r>
          </w:p>
        </w:tc>
      </w:tr>
      <w:tr w:rsidR="00DC1C36" w:rsidRPr="001E08BE" w14:paraId="1A90C4AD" w14:textId="77777777" w:rsidTr="00D44A6B">
        <w:tc>
          <w:tcPr>
            <w:tcW w:w="2978" w:type="dxa"/>
            <w:tcBorders>
              <w:top w:val="single" w:sz="4" w:space="0" w:color="FFFFFF"/>
              <w:bottom w:val="single" w:sz="4" w:space="0" w:color="FFFFFF"/>
            </w:tcBorders>
          </w:tcPr>
          <w:p w14:paraId="2E4BFB7B" w14:textId="77777777" w:rsidR="00DC1C36" w:rsidRDefault="00DC1C36" w:rsidP="001E08BE">
            <w:pPr>
              <w:jc w:val="both"/>
              <w:rPr>
                <w:rFonts w:ascii="Arial" w:hAnsi="Arial" w:cs="Arial"/>
                <w:i/>
                <w:iCs/>
                <w:sz w:val="20"/>
                <w:szCs w:val="20"/>
                <w:lang w:eastAsia="en-AU"/>
              </w:rPr>
            </w:pPr>
            <w:r w:rsidRPr="001E08BE">
              <w:rPr>
                <w:rFonts w:ascii="Arial" w:hAnsi="Arial" w:cs="Arial"/>
                <w:i/>
                <w:iCs/>
                <w:sz w:val="20"/>
                <w:szCs w:val="20"/>
                <w:lang w:eastAsia="en-AU"/>
              </w:rPr>
              <w:t xml:space="preserve">Residential flat buildings may be designed with flat roof forms </w:t>
            </w:r>
            <w:proofErr w:type="gramStart"/>
            <w:r w:rsidRPr="001E08BE">
              <w:rPr>
                <w:rFonts w:ascii="Arial" w:hAnsi="Arial" w:cs="Arial"/>
                <w:i/>
                <w:iCs/>
                <w:sz w:val="20"/>
                <w:szCs w:val="20"/>
                <w:lang w:eastAsia="en-AU"/>
              </w:rPr>
              <w:t>in order to</w:t>
            </w:r>
            <w:proofErr w:type="gramEnd"/>
            <w:r w:rsidRPr="001E08BE">
              <w:rPr>
                <w:rFonts w:ascii="Arial" w:hAnsi="Arial" w:cs="Arial"/>
                <w:i/>
                <w:iCs/>
                <w:sz w:val="20"/>
                <w:szCs w:val="20"/>
                <w:lang w:eastAsia="en-AU"/>
              </w:rPr>
              <w:t xml:space="preserve"> maximise the number of storeys within a building. However, such buildings must feature a high level of architectural design and incorporate appropriate treatments to minimise the </w:t>
            </w:r>
            <w:r w:rsidRPr="001E08BE">
              <w:rPr>
                <w:rFonts w:ascii="Arial" w:hAnsi="Arial" w:cs="Arial"/>
                <w:i/>
                <w:iCs/>
                <w:sz w:val="20"/>
                <w:szCs w:val="20"/>
                <w:lang w:eastAsia="en-AU"/>
              </w:rPr>
              <w:lastRenderedPageBreak/>
              <w:t>visual bulk and scale of the building.</w:t>
            </w:r>
          </w:p>
          <w:p w14:paraId="2ED8FE34" w14:textId="4E606D4F" w:rsidR="00DC1C36" w:rsidRPr="001E08BE" w:rsidRDefault="00DC1C36" w:rsidP="001E08BE">
            <w:pPr>
              <w:jc w:val="both"/>
              <w:rPr>
                <w:rFonts w:ascii="Arial" w:hAnsi="Arial" w:cs="Arial"/>
                <w:i/>
                <w:iCs/>
                <w:sz w:val="20"/>
                <w:szCs w:val="20"/>
                <w:lang w:eastAsia="en-AU"/>
              </w:rPr>
            </w:pPr>
          </w:p>
        </w:tc>
        <w:tc>
          <w:tcPr>
            <w:tcW w:w="4575" w:type="dxa"/>
            <w:tcBorders>
              <w:top w:val="single" w:sz="4" w:space="0" w:color="FFFFFF"/>
              <w:bottom w:val="single" w:sz="4" w:space="0" w:color="FFFFFF"/>
            </w:tcBorders>
          </w:tcPr>
          <w:p w14:paraId="559CDBAB" w14:textId="3FF5C02C" w:rsidR="00DC1C36" w:rsidRPr="00D44A6B" w:rsidRDefault="00D44A6B" w:rsidP="001E08BE">
            <w:pPr>
              <w:jc w:val="both"/>
              <w:rPr>
                <w:rFonts w:ascii="Arial" w:hAnsi="Arial" w:cs="Arial"/>
                <w:sz w:val="20"/>
                <w:szCs w:val="20"/>
              </w:rPr>
            </w:pPr>
            <w:r>
              <w:rPr>
                <w:rFonts w:ascii="Arial" w:hAnsi="Arial" w:cs="Arial"/>
                <w:sz w:val="20"/>
                <w:szCs w:val="20"/>
              </w:rPr>
              <w:lastRenderedPageBreak/>
              <w:t xml:space="preserve">The development proposes a flat roof form to minimise the extent of the variation. The proposed building design is of a high level of architectural design that generally contributes to the overall amenity of the site and the wider character of the Oran Park precinct area. </w:t>
            </w:r>
          </w:p>
        </w:tc>
        <w:tc>
          <w:tcPr>
            <w:tcW w:w="1463" w:type="dxa"/>
            <w:tcBorders>
              <w:top w:val="single" w:sz="4" w:space="0" w:color="FFFFFF"/>
              <w:bottom w:val="single" w:sz="4" w:space="0" w:color="FFFFFF"/>
            </w:tcBorders>
          </w:tcPr>
          <w:p w14:paraId="7DA41399" w14:textId="7284868D"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010A3A27" w14:textId="77777777" w:rsidTr="002D1E5F">
        <w:tc>
          <w:tcPr>
            <w:tcW w:w="2978" w:type="dxa"/>
            <w:tcBorders>
              <w:top w:val="single" w:sz="4" w:space="0" w:color="FFFFFF"/>
              <w:bottom w:val="single" w:sz="4" w:space="0" w:color="FFFFFF"/>
            </w:tcBorders>
          </w:tcPr>
          <w:p w14:paraId="11C62709" w14:textId="69A0CE7B"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 xml:space="preserve">Landscaping must </w:t>
            </w:r>
            <w:proofErr w:type="gramStart"/>
            <w:r w:rsidRPr="001E08BE">
              <w:rPr>
                <w:rFonts w:ascii="Arial" w:hAnsi="Arial" w:cs="Arial"/>
                <w:i/>
                <w:iCs/>
                <w:sz w:val="20"/>
                <w:szCs w:val="20"/>
                <w:lang w:eastAsia="en-AU"/>
              </w:rPr>
              <w:t>take into account</w:t>
            </w:r>
            <w:proofErr w:type="gramEnd"/>
            <w:r w:rsidRPr="001E08BE">
              <w:rPr>
                <w:rFonts w:ascii="Arial" w:hAnsi="Arial" w:cs="Arial"/>
                <w:i/>
                <w:iCs/>
                <w:sz w:val="20"/>
                <w:szCs w:val="20"/>
                <w:lang w:eastAsia="en-AU"/>
              </w:rPr>
              <w:t xml:space="preserve"> probable day and night use by residents, seating, shade and allows surveillance by residents i.e. the plants are either high (canopy trees) or low (ground covers).</w:t>
            </w:r>
          </w:p>
        </w:tc>
        <w:tc>
          <w:tcPr>
            <w:tcW w:w="4575" w:type="dxa"/>
            <w:tcBorders>
              <w:top w:val="single" w:sz="4" w:space="0" w:color="FFFFFF"/>
              <w:bottom w:val="single" w:sz="4" w:space="0" w:color="FFFFFF"/>
            </w:tcBorders>
          </w:tcPr>
          <w:p w14:paraId="79D43844" w14:textId="523B9B83" w:rsidR="00DC1C36" w:rsidRPr="00D44A6B" w:rsidRDefault="00D44A6B" w:rsidP="001E08BE">
            <w:pPr>
              <w:jc w:val="both"/>
              <w:rPr>
                <w:rFonts w:ascii="Arial" w:hAnsi="Arial" w:cs="Arial"/>
                <w:sz w:val="20"/>
                <w:szCs w:val="20"/>
              </w:rPr>
            </w:pPr>
            <w:r>
              <w:rPr>
                <w:rFonts w:ascii="Arial" w:hAnsi="Arial" w:cs="Arial"/>
                <w:sz w:val="20"/>
                <w:szCs w:val="20"/>
              </w:rPr>
              <w:t xml:space="preserve">The </w:t>
            </w:r>
            <w:r w:rsidR="004F5EAB">
              <w:rPr>
                <w:rFonts w:ascii="Arial" w:hAnsi="Arial" w:cs="Arial"/>
                <w:sz w:val="20"/>
                <w:szCs w:val="20"/>
              </w:rPr>
              <w:t>l</w:t>
            </w:r>
            <w:r>
              <w:rPr>
                <w:rFonts w:ascii="Arial" w:hAnsi="Arial" w:cs="Arial"/>
                <w:sz w:val="20"/>
                <w:szCs w:val="20"/>
              </w:rPr>
              <w:t xml:space="preserve">andscape </w:t>
            </w:r>
            <w:r w:rsidR="004F5EAB">
              <w:rPr>
                <w:rFonts w:ascii="Arial" w:hAnsi="Arial" w:cs="Arial"/>
                <w:sz w:val="20"/>
                <w:szCs w:val="20"/>
              </w:rPr>
              <w:t>p</w:t>
            </w:r>
            <w:r>
              <w:rPr>
                <w:rFonts w:ascii="Arial" w:hAnsi="Arial" w:cs="Arial"/>
                <w:sz w:val="20"/>
                <w:szCs w:val="20"/>
              </w:rPr>
              <w:t>lan clearly denotes the areas containing permeable and impermeable surfaces.</w:t>
            </w:r>
            <w:r w:rsidR="00D53FDD">
              <w:rPr>
                <w:rFonts w:ascii="Arial" w:hAnsi="Arial" w:cs="Arial"/>
                <w:sz w:val="20"/>
                <w:szCs w:val="20"/>
              </w:rPr>
              <w:t xml:space="preserve"> In addition to this, various seating opportunities are provided with shading (including tree canopies and sheltered areas) that can be </w:t>
            </w:r>
            <w:proofErr w:type="gramStart"/>
            <w:r w:rsidR="00D53FDD">
              <w:rPr>
                <w:rFonts w:ascii="Arial" w:hAnsi="Arial" w:cs="Arial"/>
                <w:sz w:val="20"/>
                <w:szCs w:val="20"/>
              </w:rPr>
              <w:t>used by residents at all times</w:t>
            </w:r>
            <w:proofErr w:type="gramEnd"/>
            <w:r w:rsidR="00D53FDD">
              <w:rPr>
                <w:rFonts w:ascii="Arial" w:hAnsi="Arial" w:cs="Arial"/>
                <w:sz w:val="20"/>
                <w:szCs w:val="20"/>
              </w:rPr>
              <w:t xml:space="preserve">. </w:t>
            </w:r>
          </w:p>
        </w:tc>
        <w:tc>
          <w:tcPr>
            <w:tcW w:w="1463" w:type="dxa"/>
            <w:tcBorders>
              <w:top w:val="single" w:sz="4" w:space="0" w:color="FFFFFF"/>
              <w:bottom w:val="single" w:sz="4" w:space="0" w:color="FFFFFF"/>
            </w:tcBorders>
          </w:tcPr>
          <w:p w14:paraId="5D7F8B27" w14:textId="612ABE0A"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2EDC4CC7" w14:textId="77777777" w:rsidTr="002D1E5F">
        <w:tc>
          <w:tcPr>
            <w:tcW w:w="2978" w:type="dxa"/>
            <w:tcBorders>
              <w:top w:val="single" w:sz="4" w:space="0" w:color="FFFFFF"/>
              <w:bottom w:val="single" w:sz="4" w:space="0" w:color="FFFFFF"/>
            </w:tcBorders>
          </w:tcPr>
          <w:p w14:paraId="1C927558" w14:textId="0DC3F348"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Communal open space landscaping must be designed to minimise water usage and maintenance requirements.</w:t>
            </w:r>
          </w:p>
        </w:tc>
        <w:tc>
          <w:tcPr>
            <w:tcW w:w="4575" w:type="dxa"/>
            <w:tcBorders>
              <w:top w:val="single" w:sz="4" w:space="0" w:color="FFFFFF"/>
              <w:bottom w:val="single" w:sz="4" w:space="0" w:color="FFFFFF"/>
            </w:tcBorders>
          </w:tcPr>
          <w:p w14:paraId="39AC6635" w14:textId="7B315115" w:rsidR="00DC1C36" w:rsidRPr="002D1E5F" w:rsidRDefault="002D1E5F" w:rsidP="001E08BE">
            <w:pPr>
              <w:jc w:val="both"/>
              <w:rPr>
                <w:rFonts w:ascii="Arial" w:hAnsi="Arial" w:cs="Arial"/>
                <w:sz w:val="20"/>
                <w:szCs w:val="20"/>
              </w:rPr>
            </w:pPr>
            <w:r>
              <w:rPr>
                <w:rFonts w:ascii="Arial" w:hAnsi="Arial" w:cs="Arial"/>
                <w:sz w:val="20"/>
                <w:szCs w:val="20"/>
              </w:rPr>
              <w:t xml:space="preserve">Maximum permeable surfaces are proposed within communal open space areas </w:t>
            </w:r>
            <w:r w:rsidR="00D53FDD">
              <w:rPr>
                <w:rFonts w:ascii="Arial" w:hAnsi="Arial" w:cs="Arial"/>
                <w:sz w:val="20"/>
                <w:szCs w:val="20"/>
              </w:rPr>
              <w:t xml:space="preserve">which will minimise water usage and maintenance requirements. </w:t>
            </w:r>
          </w:p>
        </w:tc>
        <w:tc>
          <w:tcPr>
            <w:tcW w:w="1463" w:type="dxa"/>
            <w:tcBorders>
              <w:top w:val="single" w:sz="4" w:space="0" w:color="FFFFFF"/>
              <w:bottom w:val="single" w:sz="4" w:space="0" w:color="FFFFFF"/>
            </w:tcBorders>
          </w:tcPr>
          <w:p w14:paraId="25D9C80C" w14:textId="3FC97859"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1CBB8032" w14:textId="77777777" w:rsidTr="002D1E5F">
        <w:tc>
          <w:tcPr>
            <w:tcW w:w="2978" w:type="dxa"/>
            <w:tcBorders>
              <w:top w:val="single" w:sz="4" w:space="0" w:color="FFFFFF"/>
              <w:bottom w:val="single" w:sz="4" w:space="0" w:color="FFFFFF"/>
            </w:tcBorders>
          </w:tcPr>
          <w:p w14:paraId="77BD201E" w14:textId="35F7E6F7"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Communal open space should be provided in locations which help to retain existing trees wherever possible.</w:t>
            </w:r>
          </w:p>
        </w:tc>
        <w:tc>
          <w:tcPr>
            <w:tcW w:w="4575" w:type="dxa"/>
            <w:tcBorders>
              <w:top w:val="single" w:sz="4" w:space="0" w:color="FFFFFF"/>
              <w:bottom w:val="single" w:sz="4" w:space="0" w:color="FFFFFF"/>
            </w:tcBorders>
          </w:tcPr>
          <w:p w14:paraId="2D860E8B" w14:textId="07EC7F2C" w:rsidR="00DC1C36" w:rsidRPr="00D53FDD" w:rsidRDefault="00D53FDD" w:rsidP="001E08BE">
            <w:pPr>
              <w:jc w:val="both"/>
              <w:rPr>
                <w:rFonts w:ascii="Arial" w:hAnsi="Arial" w:cs="Arial"/>
                <w:sz w:val="20"/>
                <w:szCs w:val="20"/>
              </w:rPr>
            </w:pPr>
            <w:r w:rsidRPr="00D53FDD">
              <w:rPr>
                <w:rFonts w:ascii="Arial" w:hAnsi="Arial" w:cs="Arial"/>
                <w:sz w:val="20"/>
                <w:szCs w:val="20"/>
              </w:rPr>
              <w:t xml:space="preserve">The site is currently clear. </w:t>
            </w:r>
          </w:p>
        </w:tc>
        <w:tc>
          <w:tcPr>
            <w:tcW w:w="1463" w:type="dxa"/>
            <w:tcBorders>
              <w:top w:val="single" w:sz="4" w:space="0" w:color="FFFFFF"/>
              <w:bottom w:val="single" w:sz="4" w:space="0" w:color="FFFFFF"/>
            </w:tcBorders>
          </w:tcPr>
          <w:p w14:paraId="0AE8B6DA" w14:textId="2F1ACBB2"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64D056B8" w14:textId="77777777" w:rsidTr="002D1E5F">
        <w:tc>
          <w:tcPr>
            <w:tcW w:w="2978" w:type="dxa"/>
            <w:tcBorders>
              <w:top w:val="single" w:sz="4" w:space="0" w:color="FFFFFF"/>
              <w:bottom w:val="single" w:sz="4" w:space="0" w:color="FFFFFF"/>
            </w:tcBorders>
          </w:tcPr>
          <w:p w14:paraId="431B3B9F" w14:textId="5DDF1B7B" w:rsidR="00DC1C36" w:rsidRPr="001E08BE" w:rsidRDefault="00DC1C36" w:rsidP="001E08BE">
            <w:pPr>
              <w:spacing w:after="160" w:line="259" w:lineRule="auto"/>
              <w:jc w:val="both"/>
              <w:rPr>
                <w:rFonts w:ascii="Arial" w:hAnsi="Arial" w:cs="Arial"/>
                <w:i/>
                <w:iCs/>
                <w:sz w:val="20"/>
                <w:szCs w:val="20"/>
                <w:lang w:eastAsia="en-AU"/>
              </w:rPr>
            </w:pPr>
            <w:r w:rsidRPr="001E08BE">
              <w:rPr>
                <w:rFonts w:ascii="Arial" w:hAnsi="Arial" w:cs="Arial"/>
                <w:i/>
                <w:iCs/>
                <w:sz w:val="20"/>
                <w:szCs w:val="20"/>
                <w:lang w:eastAsia="en-AU"/>
              </w:rPr>
              <w:t>A landscape plan is to be submitted with every application for residential flat buildings.</w:t>
            </w:r>
          </w:p>
        </w:tc>
        <w:tc>
          <w:tcPr>
            <w:tcW w:w="4575" w:type="dxa"/>
            <w:tcBorders>
              <w:top w:val="single" w:sz="4" w:space="0" w:color="FFFFFF"/>
              <w:bottom w:val="single" w:sz="4" w:space="0" w:color="FFFFFF"/>
            </w:tcBorders>
          </w:tcPr>
          <w:p w14:paraId="06CB151D" w14:textId="1897E012" w:rsidR="00DC1C36" w:rsidRPr="002D1E5F" w:rsidRDefault="002D1E5F" w:rsidP="001E08BE">
            <w:pPr>
              <w:jc w:val="both"/>
              <w:rPr>
                <w:rFonts w:ascii="Arial" w:hAnsi="Arial" w:cs="Arial"/>
                <w:sz w:val="20"/>
                <w:szCs w:val="20"/>
              </w:rPr>
            </w:pPr>
            <w:r w:rsidRPr="002D1E5F">
              <w:rPr>
                <w:rFonts w:ascii="Arial" w:hAnsi="Arial" w:cs="Arial"/>
                <w:sz w:val="20"/>
                <w:szCs w:val="20"/>
              </w:rPr>
              <w:t>As noted, a detailed Landscape Plan has been submitted with the DA</w:t>
            </w:r>
            <w:r>
              <w:rPr>
                <w:rFonts w:ascii="Arial" w:hAnsi="Arial" w:cs="Arial"/>
                <w:sz w:val="20"/>
                <w:szCs w:val="20"/>
              </w:rPr>
              <w:t xml:space="preserve"> noting the areas to contain a permeable and impermeable surfaces. </w:t>
            </w:r>
          </w:p>
        </w:tc>
        <w:tc>
          <w:tcPr>
            <w:tcW w:w="1463" w:type="dxa"/>
            <w:tcBorders>
              <w:top w:val="single" w:sz="4" w:space="0" w:color="FFFFFF"/>
              <w:bottom w:val="single" w:sz="4" w:space="0" w:color="FFFFFF"/>
            </w:tcBorders>
          </w:tcPr>
          <w:p w14:paraId="37F59E8D" w14:textId="32052B94"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6495C01F" w14:textId="77777777" w:rsidTr="002D1E5F">
        <w:tc>
          <w:tcPr>
            <w:tcW w:w="2978" w:type="dxa"/>
            <w:tcBorders>
              <w:top w:val="single" w:sz="4" w:space="0" w:color="FFFFFF"/>
              <w:bottom w:val="single" w:sz="4" w:space="0" w:color="FFFFFF"/>
            </w:tcBorders>
          </w:tcPr>
          <w:p w14:paraId="6337E5DC" w14:textId="77777777" w:rsidR="00DC1C36" w:rsidRDefault="00DC1C36" w:rsidP="001E08BE">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A swept path analysis must be prepared by a suitably qualified professional in accordance with AS2890.2.</w:t>
            </w:r>
          </w:p>
          <w:p w14:paraId="0851FB91" w14:textId="6D7AFD59" w:rsidR="00DC1C36" w:rsidRPr="001E08BE" w:rsidRDefault="00DC1C36" w:rsidP="001E08BE">
            <w:pPr>
              <w:jc w:val="both"/>
              <w:rPr>
                <w:rFonts w:ascii="Arial" w:hAnsi="Arial" w:cs="Arial"/>
                <w:i/>
                <w:iCs/>
                <w:sz w:val="20"/>
                <w:szCs w:val="20"/>
                <w:lang w:eastAsia="en-AU"/>
              </w:rPr>
            </w:pPr>
          </w:p>
        </w:tc>
        <w:tc>
          <w:tcPr>
            <w:tcW w:w="4575" w:type="dxa"/>
            <w:tcBorders>
              <w:top w:val="single" w:sz="4" w:space="0" w:color="FFFFFF"/>
              <w:bottom w:val="single" w:sz="4" w:space="0" w:color="FFFFFF"/>
            </w:tcBorders>
          </w:tcPr>
          <w:p w14:paraId="4C2CA4F2" w14:textId="0BC8B3F3" w:rsidR="00DC1C36" w:rsidRPr="002D1E5F" w:rsidRDefault="002D1E5F" w:rsidP="001E08BE">
            <w:pPr>
              <w:jc w:val="both"/>
              <w:rPr>
                <w:rFonts w:ascii="Arial" w:hAnsi="Arial" w:cs="Arial"/>
                <w:sz w:val="20"/>
                <w:szCs w:val="20"/>
              </w:rPr>
            </w:pPr>
            <w:r>
              <w:rPr>
                <w:rFonts w:ascii="Arial" w:hAnsi="Arial" w:cs="Arial"/>
                <w:sz w:val="20"/>
                <w:szCs w:val="20"/>
              </w:rPr>
              <w:t xml:space="preserve">A swept path analysis has been submitted with the DA, noting that vehicles will be able to safely transverse within the basement levels. </w:t>
            </w:r>
          </w:p>
        </w:tc>
        <w:tc>
          <w:tcPr>
            <w:tcW w:w="1463" w:type="dxa"/>
            <w:tcBorders>
              <w:top w:val="single" w:sz="4" w:space="0" w:color="FFFFFF"/>
              <w:bottom w:val="single" w:sz="4" w:space="0" w:color="FFFFFF"/>
            </w:tcBorders>
          </w:tcPr>
          <w:p w14:paraId="67C0A563" w14:textId="0B65A449"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0FB1336C" w14:textId="77777777" w:rsidTr="002D1E5F">
        <w:tc>
          <w:tcPr>
            <w:tcW w:w="2978" w:type="dxa"/>
            <w:tcBorders>
              <w:top w:val="single" w:sz="4" w:space="0" w:color="FFFFFF"/>
              <w:bottom w:val="single" w:sz="4" w:space="0" w:color="FFFFFF"/>
            </w:tcBorders>
          </w:tcPr>
          <w:p w14:paraId="727A2680" w14:textId="3FF6B2B1" w:rsidR="00DC1C36" w:rsidRDefault="002D1E5F" w:rsidP="001E08BE">
            <w:pPr>
              <w:jc w:val="both"/>
              <w:rPr>
                <w:rFonts w:ascii="Arial" w:hAnsi="Arial" w:cs="Arial"/>
                <w:sz w:val="20"/>
                <w:szCs w:val="20"/>
              </w:rPr>
            </w:pPr>
            <w:r>
              <w:rPr>
                <w:rFonts w:ascii="Arial" w:hAnsi="Arial" w:cs="Arial"/>
                <w:i/>
                <w:iCs/>
                <w:sz w:val="20"/>
                <w:szCs w:val="20"/>
                <w:shd w:val="clear" w:color="auto" w:fill="FFFFFF"/>
              </w:rPr>
              <w:t>A</w:t>
            </w:r>
            <w:r w:rsidR="00DC1C36" w:rsidRPr="001E08BE">
              <w:rPr>
                <w:rFonts w:ascii="Arial" w:hAnsi="Arial" w:cs="Arial"/>
                <w:i/>
                <w:iCs/>
                <w:sz w:val="20"/>
                <w:szCs w:val="20"/>
                <w:shd w:val="clear" w:color="auto" w:fill="FFFFFF"/>
              </w:rPr>
              <w:t>ll development must provide onsite collection via a dedicated waste collection point</w:t>
            </w:r>
            <w:r w:rsidR="00DC1C36">
              <w:rPr>
                <w:rFonts w:ascii="Arial" w:hAnsi="Arial" w:cs="Arial"/>
                <w:sz w:val="20"/>
                <w:szCs w:val="20"/>
              </w:rPr>
              <w:t>.</w:t>
            </w:r>
          </w:p>
          <w:p w14:paraId="436FE643" w14:textId="77E12269" w:rsidR="00DC1C36" w:rsidRPr="001E08BE" w:rsidRDefault="00DC1C36" w:rsidP="001E08BE">
            <w:pPr>
              <w:jc w:val="both"/>
              <w:rPr>
                <w:rFonts w:ascii="Arial" w:hAnsi="Arial" w:cs="Arial"/>
                <w:i/>
                <w:iCs/>
                <w:sz w:val="20"/>
                <w:szCs w:val="20"/>
                <w:lang w:eastAsia="en-AU"/>
              </w:rPr>
            </w:pPr>
          </w:p>
        </w:tc>
        <w:tc>
          <w:tcPr>
            <w:tcW w:w="4575" w:type="dxa"/>
            <w:tcBorders>
              <w:top w:val="single" w:sz="4" w:space="0" w:color="FFFFFF"/>
              <w:bottom w:val="single" w:sz="4" w:space="0" w:color="FFFFFF"/>
            </w:tcBorders>
          </w:tcPr>
          <w:p w14:paraId="36E17F98" w14:textId="1D66A998" w:rsidR="00DC1C36" w:rsidRPr="002D1E5F" w:rsidRDefault="002D1E5F" w:rsidP="001E08BE">
            <w:pPr>
              <w:jc w:val="both"/>
              <w:rPr>
                <w:rFonts w:ascii="Arial" w:hAnsi="Arial" w:cs="Arial"/>
                <w:sz w:val="20"/>
                <w:szCs w:val="20"/>
              </w:rPr>
            </w:pPr>
            <w:r>
              <w:rPr>
                <w:rFonts w:ascii="Arial" w:hAnsi="Arial" w:cs="Arial"/>
                <w:sz w:val="20"/>
                <w:szCs w:val="20"/>
              </w:rPr>
              <w:t>The DA was accompanied with a Waste Management Plan, noting that all waste will be collected in accordance with Council</w:t>
            </w:r>
            <w:r w:rsidR="004F5EAB">
              <w:rPr>
                <w:rFonts w:ascii="Arial" w:hAnsi="Arial" w:cs="Arial"/>
                <w:sz w:val="20"/>
                <w:szCs w:val="20"/>
              </w:rPr>
              <w:t>’</w:t>
            </w:r>
            <w:r>
              <w:rPr>
                <w:rFonts w:ascii="Arial" w:hAnsi="Arial" w:cs="Arial"/>
                <w:sz w:val="20"/>
                <w:szCs w:val="20"/>
              </w:rPr>
              <w:t xml:space="preserve">s Waste Management Plan. </w:t>
            </w:r>
          </w:p>
        </w:tc>
        <w:tc>
          <w:tcPr>
            <w:tcW w:w="1463" w:type="dxa"/>
            <w:tcBorders>
              <w:top w:val="single" w:sz="4" w:space="0" w:color="FFFFFF"/>
              <w:bottom w:val="single" w:sz="4" w:space="0" w:color="FFFFFF"/>
            </w:tcBorders>
          </w:tcPr>
          <w:p w14:paraId="03E8A93D" w14:textId="555C3DFD"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39A716E7" w14:textId="77777777" w:rsidTr="002D1E5F">
        <w:tc>
          <w:tcPr>
            <w:tcW w:w="2978" w:type="dxa"/>
            <w:tcBorders>
              <w:top w:val="single" w:sz="4" w:space="0" w:color="FFFFFF"/>
              <w:bottom w:val="single" w:sz="4" w:space="0" w:color="FFFFFF"/>
            </w:tcBorders>
          </w:tcPr>
          <w:p w14:paraId="5323E6D3" w14:textId="77777777" w:rsidR="00DC1C36" w:rsidRDefault="00DC1C36" w:rsidP="001E08BE">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Bin storage area/s must be provided within each development.</w:t>
            </w:r>
          </w:p>
          <w:p w14:paraId="6C02C447" w14:textId="60878885" w:rsidR="00DC1C36" w:rsidRPr="001E08BE" w:rsidRDefault="00DC1C36" w:rsidP="001E08BE">
            <w:pPr>
              <w:jc w:val="both"/>
              <w:rPr>
                <w:rFonts w:ascii="Arial" w:hAnsi="Arial" w:cs="Arial"/>
                <w:i/>
                <w:iCs/>
                <w:sz w:val="20"/>
                <w:szCs w:val="20"/>
                <w:shd w:val="clear" w:color="auto" w:fill="FFFFFF"/>
              </w:rPr>
            </w:pPr>
          </w:p>
        </w:tc>
        <w:tc>
          <w:tcPr>
            <w:tcW w:w="4575" w:type="dxa"/>
            <w:tcBorders>
              <w:top w:val="single" w:sz="4" w:space="0" w:color="FFFFFF"/>
              <w:bottom w:val="single" w:sz="4" w:space="0" w:color="FFFFFF"/>
            </w:tcBorders>
          </w:tcPr>
          <w:p w14:paraId="7EB48FB9" w14:textId="66F4AA64" w:rsidR="00DC1C36" w:rsidRPr="002D1E5F" w:rsidRDefault="002D1E5F" w:rsidP="001E08BE">
            <w:pPr>
              <w:jc w:val="both"/>
              <w:rPr>
                <w:rFonts w:ascii="Arial" w:hAnsi="Arial" w:cs="Arial"/>
                <w:sz w:val="20"/>
                <w:szCs w:val="20"/>
              </w:rPr>
            </w:pPr>
            <w:r w:rsidRPr="002D1E5F">
              <w:rPr>
                <w:rFonts w:ascii="Arial" w:hAnsi="Arial" w:cs="Arial"/>
                <w:sz w:val="20"/>
                <w:szCs w:val="20"/>
              </w:rPr>
              <w:t>Sufficient bin storage areas are provided within the development site. Further, the application was reviewed by Council</w:t>
            </w:r>
            <w:r w:rsidR="004F5EAB">
              <w:rPr>
                <w:rFonts w:ascii="Arial" w:hAnsi="Arial" w:cs="Arial"/>
                <w:sz w:val="20"/>
                <w:szCs w:val="20"/>
              </w:rPr>
              <w:t>’</w:t>
            </w:r>
            <w:r w:rsidRPr="002D1E5F">
              <w:rPr>
                <w:rFonts w:ascii="Arial" w:hAnsi="Arial" w:cs="Arial"/>
                <w:sz w:val="20"/>
                <w:szCs w:val="20"/>
              </w:rPr>
              <w:t xml:space="preserve">s Waste Officer, where no concerns were raised, subject to the imposition of recommended conditions of consent. </w:t>
            </w:r>
          </w:p>
          <w:p w14:paraId="4130B89A" w14:textId="19DF883C" w:rsidR="002D1E5F" w:rsidRPr="001E08BE" w:rsidRDefault="002D1E5F" w:rsidP="001E08BE">
            <w:pPr>
              <w:jc w:val="both"/>
              <w:rPr>
                <w:rFonts w:ascii="Arial" w:hAnsi="Arial" w:cs="Arial"/>
                <w:i/>
                <w:iCs/>
                <w:sz w:val="20"/>
                <w:szCs w:val="20"/>
              </w:rPr>
            </w:pPr>
          </w:p>
        </w:tc>
        <w:tc>
          <w:tcPr>
            <w:tcW w:w="1463" w:type="dxa"/>
            <w:tcBorders>
              <w:top w:val="single" w:sz="4" w:space="0" w:color="FFFFFF"/>
              <w:bottom w:val="single" w:sz="4" w:space="0" w:color="FFFFFF"/>
            </w:tcBorders>
          </w:tcPr>
          <w:p w14:paraId="0526B980" w14:textId="4EC2F8F6"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0122AF23" w14:textId="77777777" w:rsidTr="002D1E5F">
        <w:tc>
          <w:tcPr>
            <w:tcW w:w="2978" w:type="dxa"/>
            <w:tcBorders>
              <w:top w:val="single" w:sz="4" w:space="0" w:color="FFFFFF"/>
              <w:bottom w:val="single" w:sz="4" w:space="0" w:color="FFFFFF"/>
            </w:tcBorders>
          </w:tcPr>
          <w:p w14:paraId="235AFCE7" w14:textId="77777777" w:rsidR="00DC1C36" w:rsidRPr="001E08BE" w:rsidRDefault="00DC1C36" w:rsidP="001E08BE">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Bulky waste storage area/s must be provided within each development (refer to </w:t>
            </w:r>
            <w:hyperlink r:id="rId10" w:tgtFrame="_blank" w:tooltip="Waste Management Guideline" w:history="1">
              <w:r w:rsidRPr="001E08BE">
                <w:rPr>
                  <w:rStyle w:val="Emphasis"/>
                  <w:rFonts w:ascii="Arial" w:hAnsi="Arial" w:cs="Arial"/>
                  <w:color w:val="2C2E37"/>
                  <w:spacing w:val="12"/>
                  <w:sz w:val="20"/>
                  <w:szCs w:val="20"/>
                  <w:shd w:val="clear" w:color="auto" w:fill="FFFFFF"/>
                </w:rPr>
                <w:t>Councils Waste Guideline</w:t>
              </w:r>
            </w:hyperlink>
            <w:r w:rsidRPr="001E08BE">
              <w:rPr>
                <w:rFonts w:ascii="Arial" w:hAnsi="Arial" w:cs="Arial"/>
                <w:i/>
                <w:iCs/>
                <w:sz w:val="20"/>
                <w:szCs w:val="20"/>
                <w:shd w:val="clear" w:color="auto" w:fill="FFFFFF"/>
              </w:rPr>
              <w:t> for design requirements).</w:t>
            </w:r>
          </w:p>
          <w:p w14:paraId="74A4F1FF" w14:textId="77777777" w:rsidR="00DC1C36" w:rsidRDefault="00DC1C36" w:rsidP="001E08BE">
            <w:pPr>
              <w:jc w:val="both"/>
              <w:rPr>
                <w:rFonts w:ascii="Arial" w:hAnsi="Arial" w:cs="Arial"/>
                <w:i/>
                <w:iCs/>
                <w:color w:val="212529"/>
                <w:sz w:val="20"/>
                <w:szCs w:val="20"/>
                <w:shd w:val="clear" w:color="auto" w:fill="FFFFFF"/>
              </w:rPr>
            </w:pPr>
            <w:r w:rsidRPr="001E08BE">
              <w:rPr>
                <w:rFonts w:ascii="Arial" w:hAnsi="Arial" w:cs="Arial"/>
                <w:i/>
                <w:iCs/>
                <w:color w:val="212529"/>
                <w:sz w:val="20"/>
                <w:szCs w:val="20"/>
                <w:shd w:val="clear" w:color="auto" w:fill="FFFFFF"/>
              </w:rPr>
              <w:t>6m</w:t>
            </w:r>
            <w:r w:rsidRPr="001E08BE">
              <w:rPr>
                <w:rFonts w:ascii="Arial" w:hAnsi="Arial" w:cs="Arial"/>
                <w:i/>
                <w:iCs/>
                <w:color w:val="212529"/>
                <w:sz w:val="20"/>
                <w:szCs w:val="20"/>
                <w:shd w:val="clear" w:color="auto" w:fill="FFFFFF"/>
                <w:vertAlign w:val="superscript"/>
              </w:rPr>
              <w:t>2</w:t>
            </w:r>
            <w:r w:rsidRPr="001E08BE">
              <w:rPr>
                <w:rFonts w:ascii="Arial" w:hAnsi="Arial" w:cs="Arial"/>
                <w:i/>
                <w:iCs/>
                <w:color w:val="212529"/>
                <w:sz w:val="20"/>
                <w:szCs w:val="20"/>
                <w:shd w:val="clear" w:color="auto" w:fill="FFFFFF"/>
              </w:rPr>
              <w:t> for every 20 units (maximum of 24m</w:t>
            </w:r>
            <w:r w:rsidRPr="001E08BE">
              <w:rPr>
                <w:rFonts w:ascii="Arial" w:hAnsi="Arial" w:cs="Arial"/>
                <w:i/>
                <w:iCs/>
                <w:color w:val="212529"/>
                <w:sz w:val="20"/>
                <w:szCs w:val="20"/>
                <w:shd w:val="clear" w:color="auto" w:fill="FFFFFF"/>
                <w:vertAlign w:val="superscript"/>
              </w:rPr>
              <w:t>2</w:t>
            </w:r>
            <w:r w:rsidRPr="001E08BE">
              <w:rPr>
                <w:rFonts w:ascii="Arial" w:hAnsi="Arial" w:cs="Arial"/>
                <w:i/>
                <w:iCs/>
                <w:color w:val="212529"/>
                <w:sz w:val="20"/>
                <w:szCs w:val="20"/>
                <w:shd w:val="clear" w:color="auto" w:fill="FFFFFF"/>
              </w:rPr>
              <w:t>).</w:t>
            </w:r>
          </w:p>
          <w:p w14:paraId="4F02EDF1" w14:textId="2D30441F" w:rsidR="00DC1C36" w:rsidRPr="001E08BE" w:rsidRDefault="00DC1C36" w:rsidP="001E08BE">
            <w:pPr>
              <w:jc w:val="both"/>
              <w:rPr>
                <w:rFonts w:ascii="Arial" w:hAnsi="Arial" w:cs="Arial"/>
                <w:i/>
                <w:iCs/>
                <w:sz w:val="20"/>
                <w:szCs w:val="20"/>
                <w:shd w:val="clear" w:color="auto" w:fill="FFFFFF"/>
              </w:rPr>
            </w:pPr>
          </w:p>
        </w:tc>
        <w:tc>
          <w:tcPr>
            <w:tcW w:w="4575" w:type="dxa"/>
            <w:tcBorders>
              <w:top w:val="single" w:sz="4" w:space="0" w:color="FFFFFF"/>
              <w:bottom w:val="single" w:sz="4" w:space="0" w:color="FFFFFF"/>
            </w:tcBorders>
          </w:tcPr>
          <w:p w14:paraId="3E6F059A" w14:textId="0EF63FF1" w:rsidR="00DC1C36" w:rsidRPr="009464CE" w:rsidRDefault="00CF1C12" w:rsidP="001E08BE">
            <w:pPr>
              <w:jc w:val="both"/>
              <w:rPr>
                <w:rFonts w:ascii="Arial" w:hAnsi="Arial" w:cs="Arial"/>
                <w:sz w:val="20"/>
                <w:szCs w:val="20"/>
              </w:rPr>
            </w:pPr>
            <w:r>
              <w:rPr>
                <w:rFonts w:ascii="Arial" w:hAnsi="Arial" w:cs="Arial"/>
                <w:sz w:val="20"/>
                <w:szCs w:val="20"/>
              </w:rPr>
              <w:t>A b</w:t>
            </w:r>
            <w:r w:rsidR="009464CE">
              <w:rPr>
                <w:rFonts w:ascii="Arial" w:hAnsi="Arial" w:cs="Arial"/>
                <w:sz w:val="20"/>
                <w:szCs w:val="20"/>
              </w:rPr>
              <w:t xml:space="preserve">ulky waste storage area is proposed within the holding area, which is in accordance with Councils Waste Management Guidelines. Standard conditions are recommended to ensure ongoing compliance. </w:t>
            </w:r>
          </w:p>
        </w:tc>
        <w:tc>
          <w:tcPr>
            <w:tcW w:w="1463" w:type="dxa"/>
            <w:tcBorders>
              <w:top w:val="single" w:sz="4" w:space="0" w:color="FFFFFF"/>
              <w:bottom w:val="single" w:sz="4" w:space="0" w:color="FFFFFF"/>
            </w:tcBorders>
          </w:tcPr>
          <w:p w14:paraId="4436B09F" w14:textId="28D5DE58"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458E55BD" w14:textId="77777777" w:rsidTr="00D53FDD">
        <w:tc>
          <w:tcPr>
            <w:tcW w:w="2978" w:type="dxa"/>
            <w:tcBorders>
              <w:top w:val="single" w:sz="4" w:space="0" w:color="FFFFFF"/>
              <w:bottom w:val="single" w:sz="4" w:space="0" w:color="FFFFFF"/>
            </w:tcBorders>
          </w:tcPr>
          <w:p w14:paraId="76E4B9CC" w14:textId="77777777" w:rsidR="00DC1C36" w:rsidRDefault="00DC1C36" w:rsidP="001E08BE">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Where the development is four storeys or more it must be provided with a garbage and recycling chute system.</w:t>
            </w:r>
          </w:p>
          <w:p w14:paraId="5FC9905E" w14:textId="706ACE9E" w:rsidR="00DC1C36" w:rsidRPr="001E08BE" w:rsidRDefault="00DC1C36" w:rsidP="001E08BE">
            <w:pPr>
              <w:jc w:val="both"/>
              <w:rPr>
                <w:rFonts w:ascii="Arial" w:hAnsi="Arial" w:cs="Arial"/>
                <w:i/>
                <w:iCs/>
                <w:sz w:val="20"/>
                <w:szCs w:val="20"/>
                <w:shd w:val="clear" w:color="auto" w:fill="FFFFFF"/>
              </w:rPr>
            </w:pPr>
          </w:p>
        </w:tc>
        <w:tc>
          <w:tcPr>
            <w:tcW w:w="4575" w:type="dxa"/>
            <w:tcBorders>
              <w:top w:val="single" w:sz="4" w:space="0" w:color="FFFFFF"/>
              <w:bottom w:val="single" w:sz="4" w:space="0" w:color="FFFFFF"/>
            </w:tcBorders>
          </w:tcPr>
          <w:p w14:paraId="4AFF5BCD" w14:textId="2BCBD048" w:rsidR="00DC1C36" w:rsidRDefault="00D53FDD" w:rsidP="001E08BE">
            <w:pPr>
              <w:jc w:val="both"/>
              <w:rPr>
                <w:rFonts w:ascii="Arial" w:hAnsi="Arial" w:cs="Arial"/>
                <w:sz w:val="20"/>
                <w:szCs w:val="20"/>
              </w:rPr>
            </w:pPr>
            <w:r w:rsidRPr="00D53FDD">
              <w:rPr>
                <w:rFonts w:ascii="Arial" w:hAnsi="Arial" w:cs="Arial"/>
                <w:sz w:val="20"/>
                <w:szCs w:val="20"/>
              </w:rPr>
              <w:t xml:space="preserve">A garbage and recycling chute system is proposed. </w:t>
            </w:r>
            <w:r>
              <w:rPr>
                <w:rFonts w:ascii="Arial" w:hAnsi="Arial" w:cs="Arial"/>
                <w:sz w:val="20"/>
                <w:szCs w:val="20"/>
              </w:rPr>
              <w:t>T</w:t>
            </w:r>
            <w:r w:rsidRPr="002D1E5F">
              <w:rPr>
                <w:rFonts w:ascii="Arial" w:hAnsi="Arial" w:cs="Arial"/>
                <w:sz w:val="20"/>
                <w:szCs w:val="20"/>
              </w:rPr>
              <w:t>he application was reviewed by Council</w:t>
            </w:r>
            <w:r w:rsidR="004F5EAB">
              <w:rPr>
                <w:rFonts w:ascii="Arial" w:hAnsi="Arial" w:cs="Arial"/>
                <w:sz w:val="20"/>
                <w:szCs w:val="20"/>
              </w:rPr>
              <w:t>’</w:t>
            </w:r>
            <w:r w:rsidRPr="002D1E5F">
              <w:rPr>
                <w:rFonts w:ascii="Arial" w:hAnsi="Arial" w:cs="Arial"/>
                <w:sz w:val="20"/>
                <w:szCs w:val="20"/>
              </w:rPr>
              <w:t xml:space="preserve">s Waste Officer, where no concerns were raised, subject to the imposition of recommended conditions of consent. </w:t>
            </w:r>
          </w:p>
          <w:p w14:paraId="52B460BB" w14:textId="7C1E70DC" w:rsidR="00D53FDD" w:rsidRPr="00D53FDD" w:rsidRDefault="00D53FDD" w:rsidP="001E08BE">
            <w:pPr>
              <w:jc w:val="both"/>
              <w:rPr>
                <w:rFonts w:ascii="Arial" w:hAnsi="Arial" w:cs="Arial"/>
                <w:sz w:val="20"/>
                <w:szCs w:val="20"/>
              </w:rPr>
            </w:pPr>
          </w:p>
        </w:tc>
        <w:tc>
          <w:tcPr>
            <w:tcW w:w="1463" w:type="dxa"/>
            <w:tcBorders>
              <w:top w:val="single" w:sz="4" w:space="0" w:color="FFFFFF"/>
              <w:bottom w:val="single" w:sz="4" w:space="0" w:color="FFFFFF"/>
            </w:tcBorders>
          </w:tcPr>
          <w:p w14:paraId="6CEFC610" w14:textId="2FBF9BCE"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C1C36" w:rsidRPr="001E08BE" w14:paraId="44ECCFEF" w14:textId="77777777" w:rsidTr="00D53FDD">
        <w:tc>
          <w:tcPr>
            <w:tcW w:w="2978" w:type="dxa"/>
            <w:tcBorders>
              <w:top w:val="single" w:sz="4" w:space="0" w:color="FFFFFF"/>
              <w:bottom w:val="single" w:sz="4" w:space="0" w:color="FFFFFF"/>
            </w:tcBorders>
          </w:tcPr>
          <w:p w14:paraId="3FB8B22F" w14:textId="77777777" w:rsidR="00DC1C36" w:rsidRDefault="00DC1C36" w:rsidP="001E08BE">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 xml:space="preserve">Where the development is four storeys or more, it must provide </w:t>
            </w:r>
            <w:r w:rsidRPr="001E08BE">
              <w:rPr>
                <w:rFonts w:ascii="Arial" w:hAnsi="Arial" w:cs="Arial"/>
                <w:i/>
                <w:iCs/>
                <w:sz w:val="20"/>
                <w:szCs w:val="20"/>
                <w:shd w:val="clear" w:color="auto" w:fill="FFFFFF"/>
              </w:rPr>
              <w:lastRenderedPageBreak/>
              <w:t>waste service rooms within each level of the development (</w:t>
            </w:r>
            <w:r w:rsidRPr="00C35784">
              <w:rPr>
                <w:rFonts w:ascii="Arial" w:hAnsi="Arial" w:cs="Arial"/>
                <w:i/>
                <w:iCs/>
                <w:sz w:val="20"/>
                <w:szCs w:val="20"/>
              </w:rPr>
              <w:t>Refer to </w:t>
            </w:r>
            <w:hyperlink r:id="rId11" w:tgtFrame="_blank" w:tooltip="Waste Management Guideline" w:history="1">
              <w:r w:rsidRPr="00C35784">
                <w:rPr>
                  <w:rFonts w:ascii="Arial" w:hAnsi="Arial" w:cs="Arial"/>
                  <w:i/>
                  <w:iCs/>
                  <w:sz w:val="20"/>
                  <w:szCs w:val="20"/>
                </w:rPr>
                <w:t>Council’s Waste Management Guidelines</w:t>
              </w:r>
            </w:hyperlink>
            <w:r w:rsidRPr="00C35784">
              <w:rPr>
                <w:rFonts w:ascii="Arial" w:hAnsi="Arial" w:cs="Arial"/>
                <w:i/>
                <w:iCs/>
                <w:sz w:val="20"/>
                <w:szCs w:val="20"/>
              </w:rPr>
              <w:t> for design requirements</w:t>
            </w:r>
            <w:r w:rsidRPr="001E08BE">
              <w:rPr>
                <w:rFonts w:ascii="Arial" w:hAnsi="Arial" w:cs="Arial"/>
                <w:i/>
                <w:iCs/>
                <w:sz w:val="20"/>
                <w:szCs w:val="20"/>
                <w:shd w:val="clear" w:color="auto" w:fill="FFFFFF"/>
              </w:rPr>
              <w:t>).</w:t>
            </w:r>
          </w:p>
          <w:p w14:paraId="35179AB2" w14:textId="4A4D0156" w:rsidR="00DC1C36" w:rsidRPr="001E08BE" w:rsidRDefault="00DC1C36" w:rsidP="001E08BE">
            <w:pPr>
              <w:jc w:val="both"/>
              <w:rPr>
                <w:rFonts w:ascii="Arial" w:hAnsi="Arial" w:cs="Arial"/>
                <w:i/>
                <w:iCs/>
                <w:sz w:val="20"/>
                <w:szCs w:val="20"/>
                <w:shd w:val="clear" w:color="auto" w:fill="FFFFFF"/>
              </w:rPr>
            </w:pPr>
          </w:p>
        </w:tc>
        <w:tc>
          <w:tcPr>
            <w:tcW w:w="4575" w:type="dxa"/>
            <w:tcBorders>
              <w:top w:val="single" w:sz="4" w:space="0" w:color="FFFFFF"/>
              <w:bottom w:val="single" w:sz="4" w:space="0" w:color="FFFFFF"/>
            </w:tcBorders>
          </w:tcPr>
          <w:p w14:paraId="33E90255" w14:textId="3DBCEFA0" w:rsidR="00D53FDD" w:rsidRDefault="00D53FDD" w:rsidP="00D53FDD">
            <w:pPr>
              <w:jc w:val="both"/>
              <w:rPr>
                <w:rFonts w:ascii="Arial" w:hAnsi="Arial" w:cs="Arial"/>
                <w:sz w:val="20"/>
                <w:szCs w:val="20"/>
              </w:rPr>
            </w:pPr>
            <w:r>
              <w:rPr>
                <w:rFonts w:ascii="Arial" w:hAnsi="Arial" w:cs="Arial"/>
                <w:sz w:val="20"/>
                <w:szCs w:val="20"/>
              </w:rPr>
              <w:lastRenderedPageBreak/>
              <w:t xml:space="preserve">Waste service rooms are provided on all levels (including the basement levels) in accordance </w:t>
            </w:r>
            <w:r>
              <w:rPr>
                <w:rFonts w:ascii="Arial" w:hAnsi="Arial" w:cs="Arial"/>
                <w:sz w:val="20"/>
                <w:szCs w:val="20"/>
              </w:rPr>
              <w:lastRenderedPageBreak/>
              <w:t>with Council</w:t>
            </w:r>
            <w:r w:rsidR="004F5EAB">
              <w:rPr>
                <w:rFonts w:ascii="Arial" w:hAnsi="Arial" w:cs="Arial"/>
                <w:sz w:val="20"/>
                <w:szCs w:val="20"/>
              </w:rPr>
              <w:t>’</w:t>
            </w:r>
            <w:r>
              <w:rPr>
                <w:rFonts w:ascii="Arial" w:hAnsi="Arial" w:cs="Arial"/>
                <w:sz w:val="20"/>
                <w:szCs w:val="20"/>
              </w:rPr>
              <w:t>s requirements</w:t>
            </w:r>
            <w:r w:rsidRPr="00D53FDD">
              <w:rPr>
                <w:rFonts w:ascii="Arial" w:hAnsi="Arial" w:cs="Arial"/>
                <w:sz w:val="20"/>
                <w:szCs w:val="20"/>
              </w:rPr>
              <w:t xml:space="preserve">. </w:t>
            </w:r>
            <w:r>
              <w:rPr>
                <w:rFonts w:ascii="Arial" w:hAnsi="Arial" w:cs="Arial"/>
                <w:sz w:val="20"/>
                <w:szCs w:val="20"/>
              </w:rPr>
              <w:t>T</w:t>
            </w:r>
            <w:r w:rsidRPr="002D1E5F">
              <w:rPr>
                <w:rFonts w:ascii="Arial" w:hAnsi="Arial" w:cs="Arial"/>
                <w:sz w:val="20"/>
                <w:szCs w:val="20"/>
              </w:rPr>
              <w:t>he application was reviewed by Council</w:t>
            </w:r>
            <w:r w:rsidR="004F5EAB">
              <w:rPr>
                <w:rFonts w:ascii="Arial" w:hAnsi="Arial" w:cs="Arial"/>
                <w:sz w:val="20"/>
                <w:szCs w:val="20"/>
              </w:rPr>
              <w:t>’</w:t>
            </w:r>
            <w:r w:rsidRPr="002D1E5F">
              <w:rPr>
                <w:rFonts w:ascii="Arial" w:hAnsi="Arial" w:cs="Arial"/>
                <w:sz w:val="20"/>
                <w:szCs w:val="20"/>
              </w:rPr>
              <w:t xml:space="preserve">s Waste Officer, where no concerns were raised, subject to the imposition of recommended conditions of consent. </w:t>
            </w:r>
          </w:p>
          <w:p w14:paraId="65966A44" w14:textId="77777777" w:rsidR="00DC1C36" w:rsidRPr="001E08BE" w:rsidRDefault="00DC1C36" w:rsidP="001E08BE">
            <w:pPr>
              <w:jc w:val="both"/>
              <w:rPr>
                <w:rFonts w:ascii="Arial" w:hAnsi="Arial" w:cs="Arial"/>
                <w:i/>
                <w:iCs/>
                <w:sz w:val="20"/>
                <w:szCs w:val="20"/>
              </w:rPr>
            </w:pPr>
          </w:p>
        </w:tc>
        <w:tc>
          <w:tcPr>
            <w:tcW w:w="1463" w:type="dxa"/>
            <w:tcBorders>
              <w:top w:val="single" w:sz="4" w:space="0" w:color="FFFFFF"/>
              <w:bottom w:val="single" w:sz="4" w:space="0" w:color="FFFFFF"/>
            </w:tcBorders>
          </w:tcPr>
          <w:p w14:paraId="5677971B" w14:textId="64C8EC66" w:rsidR="00DC1C36" w:rsidRPr="005D6673" w:rsidRDefault="005D6673" w:rsidP="005D6673">
            <w:pPr>
              <w:jc w:val="center"/>
              <w:rPr>
                <w:rFonts w:ascii="Arial" w:hAnsi="Arial" w:cs="Arial"/>
                <w:sz w:val="20"/>
                <w:szCs w:val="20"/>
              </w:rPr>
            </w:pPr>
            <w:r w:rsidRPr="005D6673">
              <w:rPr>
                <w:rFonts w:ascii="Arial" w:hAnsi="Arial" w:cs="Arial"/>
                <w:sz w:val="20"/>
                <w:szCs w:val="20"/>
              </w:rPr>
              <w:lastRenderedPageBreak/>
              <w:t>Yes</w:t>
            </w:r>
          </w:p>
        </w:tc>
      </w:tr>
      <w:tr w:rsidR="00DC1C36" w:rsidRPr="001E08BE" w14:paraId="408589F4" w14:textId="77777777" w:rsidTr="002D1E5F">
        <w:tc>
          <w:tcPr>
            <w:tcW w:w="2978" w:type="dxa"/>
            <w:tcBorders>
              <w:top w:val="single" w:sz="4" w:space="0" w:color="FFFFFF"/>
              <w:bottom w:val="single" w:sz="4" w:space="0" w:color="FFFFFF"/>
            </w:tcBorders>
          </w:tcPr>
          <w:p w14:paraId="4AFD9262" w14:textId="77777777" w:rsidR="00DC1C36" w:rsidRDefault="00DC1C36" w:rsidP="001E08BE">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Residential waste and non-residential waste must be stored and managed separately and must be able to operate concurrently without conflict. </w:t>
            </w:r>
          </w:p>
          <w:p w14:paraId="6924E1F4" w14:textId="2B987E48" w:rsidR="002D1E5F" w:rsidRPr="001E08BE" w:rsidRDefault="002D1E5F" w:rsidP="001E08BE">
            <w:pPr>
              <w:jc w:val="both"/>
              <w:rPr>
                <w:rFonts w:ascii="Arial" w:hAnsi="Arial" w:cs="Arial"/>
                <w:i/>
                <w:iCs/>
                <w:sz w:val="20"/>
                <w:szCs w:val="20"/>
                <w:shd w:val="clear" w:color="auto" w:fill="FFFFFF"/>
              </w:rPr>
            </w:pPr>
          </w:p>
        </w:tc>
        <w:tc>
          <w:tcPr>
            <w:tcW w:w="4575" w:type="dxa"/>
            <w:tcBorders>
              <w:top w:val="single" w:sz="4" w:space="0" w:color="FFFFFF"/>
              <w:bottom w:val="single" w:sz="4" w:space="0" w:color="FFFFFF"/>
            </w:tcBorders>
          </w:tcPr>
          <w:p w14:paraId="46FD3378" w14:textId="50B4999F" w:rsidR="00DC1C36" w:rsidRPr="00D53FDD" w:rsidRDefault="00D53FDD" w:rsidP="001E08BE">
            <w:pPr>
              <w:jc w:val="both"/>
              <w:rPr>
                <w:rFonts w:ascii="Arial" w:hAnsi="Arial" w:cs="Arial"/>
                <w:sz w:val="20"/>
                <w:szCs w:val="20"/>
              </w:rPr>
            </w:pPr>
            <w:r>
              <w:rPr>
                <w:rFonts w:ascii="Arial" w:hAnsi="Arial" w:cs="Arial"/>
                <w:sz w:val="20"/>
                <w:szCs w:val="20"/>
              </w:rPr>
              <w:t xml:space="preserve">Standard conditions are recommended in the consent, requiring all waste to be disposed of, in accordance with the approved Waste Management Plan. </w:t>
            </w:r>
          </w:p>
        </w:tc>
        <w:tc>
          <w:tcPr>
            <w:tcW w:w="1463" w:type="dxa"/>
            <w:tcBorders>
              <w:top w:val="single" w:sz="4" w:space="0" w:color="FFFFFF"/>
              <w:bottom w:val="single" w:sz="4" w:space="0" w:color="FFFFFF"/>
            </w:tcBorders>
          </w:tcPr>
          <w:p w14:paraId="7AAC56A9" w14:textId="0B21F899" w:rsidR="00DC1C36" w:rsidRPr="005D6673" w:rsidRDefault="005D6673" w:rsidP="005D6673">
            <w:pPr>
              <w:jc w:val="center"/>
              <w:rPr>
                <w:rFonts w:ascii="Arial" w:hAnsi="Arial" w:cs="Arial"/>
                <w:sz w:val="20"/>
                <w:szCs w:val="20"/>
              </w:rPr>
            </w:pPr>
            <w:r w:rsidRPr="005D6673">
              <w:rPr>
                <w:rFonts w:ascii="Arial" w:hAnsi="Arial" w:cs="Arial"/>
                <w:sz w:val="20"/>
                <w:szCs w:val="20"/>
              </w:rPr>
              <w:t>Yes</w:t>
            </w:r>
          </w:p>
        </w:tc>
      </w:tr>
      <w:tr w:rsidR="00D53FDD" w:rsidRPr="001E08BE" w14:paraId="5AE6B9DE" w14:textId="77777777" w:rsidTr="002D1E5F">
        <w:tc>
          <w:tcPr>
            <w:tcW w:w="2978" w:type="dxa"/>
            <w:tcBorders>
              <w:top w:val="single" w:sz="4" w:space="0" w:color="FFFFFF"/>
            </w:tcBorders>
          </w:tcPr>
          <w:p w14:paraId="76FB3E67" w14:textId="43A5B0E0" w:rsidR="00D53FDD" w:rsidRPr="001E08BE" w:rsidRDefault="00D53FDD" w:rsidP="00D53FDD">
            <w:pPr>
              <w:jc w:val="both"/>
              <w:rPr>
                <w:rFonts w:ascii="Arial" w:hAnsi="Arial" w:cs="Arial"/>
                <w:i/>
                <w:iCs/>
                <w:sz w:val="20"/>
                <w:szCs w:val="20"/>
                <w:shd w:val="clear" w:color="auto" w:fill="FFFFFF"/>
              </w:rPr>
            </w:pPr>
            <w:r w:rsidRPr="001E08BE">
              <w:rPr>
                <w:rFonts w:ascii="Arial" w:hAnsi="Arial" w:cs="Arial"/>
                <w:i/>
                <w:iCs/>
                <w:sz w:val="20"/>
                <w:szCs w:val="20"/>
                <w:shd w:val="clear" w:color="auto" w:fill="FFFFFF"/>
              </w:rPr>
              <w:t>The owners’ corporation must take responsibility for the management of waste and recyclable materials generated upon the site. </w:t>
            </w:r>
          </w:p>
        </w:tc>
        <w:tc>
          <w:tcPr>
            <w:tcW w:w="4575" w:type="dxa"/>
            <w:tcBorders>
              <w:top w:val="single" w:sz="4" w:space="0" w:color="FFFFFF"/>
            </w:tcBorders>
          </w:tcPr>
          <w:p w14:paraId="1F95F82C" w14:textId="4D74F5BB" w:rsidR="00D53FDD" w:rsidRPr="001E08BE" w:rsidRDefault="00D53FDD" w:rsidP="00D53FDD">
            <w:pPr>
              <w:jc w:val="both"/>
              <w:rPr>
                <w:rFonts w:ascii="Arial" w:hAnsi="Arial" w:cs="Arial"/>
                <w:i/>
                <w:iCs/>
                <w:sz w:val="20"/>
                <w:szCs w:val="20"/>
              </w:rPr>
            </w:pPr>
            <w:r>
              <w:rPr>
                <w:rFonts w:ascii="Arial" w:hAnsi="Arial" w:cs="Arial"/>
                <w:sz w:val="20"/>
                <w:szCs w:val="20"/>
              </w:rPr>
              <w:t xml:space="preserve">Standard conditions are recommended in the consent, requiring all waste to be disposed of, in accordance with the approved Waste Management Plan. </w:t>
            </w:r>
          </w:p>
        </w:tc>
        <w:tc>
          <w:tcPr>
            <w:tcW w:w="1463" w:type="dxa"/>
            <w:tcBorders>
              <w:top w:val="single" w:sz="4" w:space="0" w:color="FFFFFF"/>
            </w:tcBorders>
          </w:tcPr>
          <w:p w14:paraId="575E621C" w14:textId="314ABC81" w:rsidR="00D53FDD" w:rsidRPr="005D6673" w:rsidRDefault="005D6673" w:rsidP="005D6673">
            <w:pPr>
              <w:jc w:val="center"/>
              <w:rPr>
                <w:rFonts w:ascii="Arial" w:hAnsi="Arial" w:cs="Arial"/>
                <w:sz w:val="20"/>
                <w:szCs w:val="20"/>
              </w:rPr>
            </w:pPr>
            <w:r w:rsidRPr="005D6673">
              <w:rPr>
                <w:rFonts w:ascii="Arial" w:hAnsi="Arial" w:cs="Arial"/>
                <w:sz w:val="20"/>
                <w:szCs w:val="20"/>
              </w:rPr>
              <w:t>Yes</w:t>
            </w:r>
          </w:p>
        </w:tc>
      </w:tr>
    </w:tbl>
    <w:p w14:paraId="0380CDD6" w14:textId="77777777" w:rsidR="00C7112D" w:rsidRPr="001E08BE" w:rsidRDefault="00C7112D" w:rsidP="001E08BE">
      <w:pPr>
        <w:jc w:val="both"/>
        <w:rPr>
          <w:rFonts w:ascii="Arial" w:hAnsi="Arial" w:cs="Arial"/>
          <w:i/>
          <w:iCs/>
          <w:sz w:val="20"/>
          <w:szCs w:val="20"/>
        </w:rPr>
      </w:pPr>
    </w:p>
    <w:tbl>
      <w:tblPr>
        <w:tblStyle w:val="TableGrid"/>
        <w:tblW w:w="0" w:type="auto"/>
        <w:tblLook w:val="04A0" w:firstRow="1" w:lastRow="0" w:firstColumn="1" w:lastColumn="0" w:noHBand="0" w:noVBand="1"/>
      </w:tblPr>
      <w:tblGrid>
        <w:gridCol w:w="1696"/>
        <w:gridCol w:w="2268"/>
        <w:gridCol w:w="3402"/>
        <w:gridCol w:w="1650"/>
      </w:tblGrid>
      <w:tr w:rsidR="001E08BE" w:rsidRPr="001E08BE" w14:paraId="6045EE21" w14:textId="77777777" w:rsidTr="002D026A">
        <w:tc>
          <w:tcPr>
            <w:tcW w:w="1696" w:type="dxa"/>
            <w:shd w:val="clear" w:color="auto" w:fill="D9D9D9" w:themeFill="background1" w:themeFillShade="D9"/>
          </w:tcPr>
          <w:p w14:paraId="5ECA6D80" w14:textId="47F253BA" w:rsidR="001E08BE" w:rsidRPr="00C35784" w:rsidRDefault="001E08BE" w:rsidP="001E08BE">
            <w:pPr>
              <w:jc w:val="both"/>
              <w:rPr>
                <w:rFonts w:ascii="Arial" w:hAnsi="Arial" w:cs="Arial"/>
                <w:b/>
                <w:bCs/>
                <w:sz w:val="20"/>
                <w:szCs w:val="20"/>
              </w:rPr>
            </w:pPr>
            <w:r w:rsidRPr="00C35784">
              <w:rPr>
                <w:rFonts w:ascii="Arial" w:hAnsi="Arial" w:cs="Arial"/>
                <w:b/>
                <w:bCs/>
                <w:sz w:val="20"/>
                <w:szCs w:val="20"/>
              </w:rPr>
              <w:t>Site Requirements</w:t>
            </w:r>
          </w:p>
        </w:tc>
        <w:tc>
          <w:tcPr>
            <w:tcW w:w="2268" w:type="dxa"/>
            <w:shd w:val="clear" w:color="auto" w:fill="D9D9D9" w:themeFill="background1" w:themeFillShade="D9"/>
          </w:tcPr>
          <w:p w14:paraId="16D7B69F" w14:textId="3682E9ED" w:rsidR="001E08BE" w:rsidRPr="00C35784" w:rsidRDefault="001E08BE" w:rsidP="001E08BE">
            <w:pPr>
              <w:jc w:val="both"/>
              <w:rPr>
                <w:rFonts w:ascii="Arial" w:hAnsi="Arial" w:cs="Arial"/>
                <w:b/>
                <w:bCs/>
                <w:sz w:val="20"/>
                <w:szCs w:val="20"/>
              </w:rPr>
            </w:pPr>
            <w:r w:rsidRPr="00C35784">
              <w:rPr>
                <w:rFonts w:ascii="Arial" w:hAnsi="Arial" w:cs="Arial"/>
                <w:b/>
                <w:bCs/>
                <w:sz w:val="20"/>
                <w:szCs w:val="20"/>
              </w:rPr>
              <w:t>Residential Flat Building</w:t>
            </w:r>
          </w:p>
        </w:tc>
        <w:tc>
          <w:tcPr>
            <w:tcW w:w="3402" w:type="dxa"/>
            <w:shd w:val="clear" w:color="auto" w:fill="D9D9D9" w:themeFill="background1" w:themeFillShade="D9"/>
          </w:tcPr>
          <w:p w14:paraId="2BE35F2A" w14:textId="5754FD64" w:rsidR="001E08BE" w:rsidRPr="00C35784" w:rsidRDefault="001E08BE" w:rsidP="001E08BE">
            <w:pPr>
              <w:jc w:val="both"/>
              <w:rPr>
                <w:rFonts w:ascii="Arial" w:hAnsi="Arial" w:cs="Arial"/>
                <w:b/>
                <w:bCs/>
                <w:sz w:val="20"/>
                <w:szCs w:val="20"/>
              </w:rPr>
            </w:pPr>
            <w:r w:rsidRPr="00C35784">
              <w:rPr>
                <w:rFonts w:ascii="Arial" w:hAnsi="Arial" w:cs="Arial"/>
                <w:b/>
                <w:bCs/>
                <w:sz w:val="20"/>
                <w:szCs w:val="20"/>
              </w:rPr>
              <w:t>Assessment</w:t>
            </w:r>
          </w:p>
        </w:tc>
        <w:tc>
          <w:tcPr>
            <w:tcW w:w="1650" w:type="dxa"/>
            <w:shd w:val="clear" w:color="auto" w:fill="D9D9D9" w:themeFill="background1" w:themeFillShade="D9"/>
          </w:tcPr>
          <w:p w14:paraId="6C85B38C" w14:textId="7289CC6D" w:rsidR="001E08BE" w:rsidRPr="00C35784" w:rsidRDefault="001E08BE" w:rsidP="001E08BE">
            <w:pPr>
              <w:jc w:val="both"/>
              <w:rPr>
                <w:rFonts w:ascii="Arial" w:hAnsi="Arial" w:cs="Arial"/>
                <w:b/>
                <w:bCs/>
                <w:sz w:val="20"/>
                <w:szCs w:val="20"/>
              </w:rPr>
            </w:pPr>
            <w:r w:rsidRPr="00C35784">
              <w:rPr>
                <w:rFonts w:ascii="Arial" w:hAnsi="Arial" w:cs="Arial"/>
                <w:b/>
                <w:bCs/>
                <w:sz w:val="20"/>
                <w:szCs w:val="20"/>
              </w:rPr>
              <w:t>Compliance</w:t>
            </w:r>
          </w:p>
        </w:tc>
      </w:tr>
      <w:tr w:rsidR="001E08BE" w:rsidRPr="001E08BE" w14:paraId="4E7CF5CF" w14:textId="77777777" w:rsidTr="002D026A">
        <w:tc>
          <w:tcPr>
            <w:tcW w:w="1696" w:type="dxa"/>
            <w:shd w:val="clear" w:color="auto" w:fill="auto"/>
          </w:tcPr>
          <w:p w14:paraId="75CD53F5" w14:textId="2CD8D9B1" w:rsidR="001E08BE" w:rsidRPr="00D702BC" w:rsidRDefault="001E08BE" w:rsidP="001E08BE">
            <w:pPr>
              <w:jc w:val="both"/>
              <w:rPr>
                <w:rFonts w:ascii="Arial" w:hAnsi="Arial" w:cs="Arial"/>
                <w:b/>
                <w:bCs/>
                <w:i/>
                <w:iCs/>
                <w:sz w:val="20"/>
                <w:szCs w:val="20"/>
              </w:rPr>
            </w:pPr>
            <w:r w:rsidRPr="00D702BC">
              <w:rPr>
                <w:rFonts w:ascii="Arial" w:hAnsi="Arial" w:cs="Arial"/>
                <w:b/>
                <w:bCs/>
                <w:i/>
                <w:iCs/>
                <w:sz w:val="20"/>
                <w:szCs w:val="20"/>
              </w:rPr>
              <w:t xml:space="preserve">Lot Size (minimum) </w:t>
            </w:r>
          </w:p>
        </w:tc>
        <w:tc>
          <w:tcPr>
            <w:tcW w:w="2268" w:type="dxa"/>
          </w:tcPr>
          <w:p w14:paraId="611AD464" w14:textId="7D99C5C1" w:rsidR="001E08BE" w:rsidRPr="001E08BE" w:rsidRDefault="001E08BE" w:rsidP="001E08BE">
            <w:pPr>
              <w:jc w:val="both"/>
              <w:rPr>
                <w:rFonts w:ascii="Arial" w:hAnsi="Arial" w:cs="Arial"/>
                <w:i/>
                <w:iCs/>
                <w:sz w:val="20"/>
                <w:szCs w:val="20"/>
              </w:rPr>
            </w:pPr>
            <w:r w:rsidRPr="001E08BE">
              <w:rPr>
                <w:rFonts w:ascii="Arial" w:hAnsi="Arial" w:cs="Arial"/>
                <w:i/>
                <w:iCs/>
                <w:sz w:val="20"/>
                <w:szCs w:val="20"/>
              </w:rPr>
              <w:t>1</w:t>
            </w:r>
            <w:r w:rsidR="00CF1C12">
              <w:rPr>
                <w:rFonts w:ascii="Arial" w:hAnsi="Arial" w:cs="Arial"/>
                <w:i/>
                <w:iCs/>
                <w:sz w:val="20"/>
                <w:szCs w:val="20"/>
              </w:rPr>
              <w:t>,</w:t>
            </w:r>
            <w:r w:rsidRPr="001E08BE">
              <w:rPr>
                <w:rFonts w:ascii="Arial" w:hAnsi="Arial" w:cs="Arial"/>
                <w:i/>
                <w:iCs/>
                <w:sz w:val="20"/>
                <w:szCs w:val="20"/>
              </w:rPr>
              <w:t>000m</w:t>
            </w:r>
            <w:r w:rsidRPr="001E08BE">
              <w:rPr>
                <w:rFonts w:ascii="Arial" w:hAnsi="Arial" w:cs="Arial"/>
                <w:i/>
                <w:iCs/>
                <w:sz w:val="20"/>
                <w:szCs w:val="20"/>
                <w:vertAlign w:val="superscript"/>
              </w:rPr>
              <w:t>2</w:t>
            </w:r>
            <w:r w:rsidRPr="001E08BE">
              <w:rPr>
                <w:rFonts w:ascii="Arial" w:hAnsi="Arial" w:cs="Arial"/>
                <w:i/>
                <w:iCs/>
                <w:sz w:val="20"/>
                <w:szCs w:val="20"/>
              </w:rPr>
              <w:t xml:space="preserve"> </w:t>
            </w:r>
          </w:p>
        </w:tc>
        <w:tc>
          <w:tcPr>
            <w:tcW w:w="3402" w:type="dxa"/>
          </w:tcPr>
          <w:p w14:paraId="785D2498" w14:textId="17FFACE9" w:rsidR="001E08BE" w:rsidRPr="001E08BE" w:rsidRDefault="00D702BC" w:rsidP="001E08BE">
            <w:pPr>
              <w:jc w:val="both"/>
              <w:rPr>
                <w:rFonts w:ascii="Arial" w:hAnsi="Arial" w:cs="Arial"/>
                <w:i/>
                <w:iCs/>
                <w:sz w:val="20"/>
                <w:szCs w:val="20"/>
              </w:rPr>
            </w:pPr>
            <w:r>
              <w:rPr>
                <w:rFonts w:ascii="Arial" w:hAnsi="Arial" w:cs="Arial"/>
                <w:i/>
                <w:iCs/>
                <w:sz w:val="20"/>
                <w:szCs w:val="20"/>
              </w:rPr>
              <w:t>6</w:t>
            </w:r>
            <w:r w:rsidR="00CF1C12">
              <w:rPr>
                <w:rFonts w:ascii="Arial" w:hAnsi="Arial" w:cs="Arial"/>
                <w:i/>
                <w:iCs/>
                <w:sz w:val="20"/>
                <w:szCs w:val="20"/>
              </w:rPr>
              <w:t>,</w:t>
            </w:r>
            <w:r>
              <w:rPr>
                <w:rFonts w:ascii="Arial" w:hAnsi="Arial" w:cs="Arial"/>
                <w:i/>
                <w:iCs/>
                <w:sz w:val="20"/>
                <w:szCs w:val="20"/>
              </w:rPr>
              <w:t>435.60m</w:t>
            </w:r>
            <w:r w:rsidRPr="00D702BC">
              <w:rPr>
                <w:rFonts w:ascii="Arial" w:hAnsi="Arial" w:cs="Arial"/>
                <w:i/>
                <w:iCs/>
                <w:sz w:val="20"/>
                <w:szCs w:val="20"/>
                <w:vertAlign w:val="superscript"/>
              </w:rPr>
              <w:t>2</w:t>
            </w:r>
            <w:r>
              <w:rPr>
                <w:rFonts w:ascii="Arial" w:hAnsi="Arial" w:cs="Arial"/>
                <w:i/>
                <w:iCs/>
                <w:sz w:val="20"/>
                <w:szCs w:val="20"/>
              </w:rPr>
              <w:t xml:space="preserve"> </w:t>
            </w:r>
          </w:p>
        </w:tc>
        <w:tc>
          <w:tcPr>
            <w:tcW w:w="1650" w:type="dxa"/>
          </w:tcPr>
          <w:p w14:paraId="5D52D9DE" w14:textId="6E120A07" w:rsidR="001E08BE" w:rsidRPr="001E08BE" w:rsidRDefault="00CD3A0D" w:rsidP="00CD3A0D">
            <w:pPr>
              <w:jc w:val="center"/>
              <w:rPr>
                <w:rFonts w:ascii="Arial" w:hAnsi="Arial" w:cs="Arial"/>
                <w:i/>
                <w:iCs/>
                <w:sz w:val="20"/>
                <w:szCs w:val="20"/>
              </w:rPr>
            </w:pPr>
            <w:r>
              <w:rPr>
                <w:rFonts w:ascii="Arial" w:hAnsi="Arial" w:cs="Arial"/>
                <w:i/>
                <w:iCs/>
                <w:sz w:val="20"/>
                <w:szCs w:val="20"/>
              </w:rPr>
              <w:t>Yes</w:t>
            </w:r>
          </w:p>
        </w:tc>
      </w:tr>
      <w:tr w:rsidR="001E08BE" w:rsidRPr="001E08BE" w14:paraId="2DE87730" w14:textId="77777777" w:rsidTr="002D026A">
        <w:tc>
          <w:tcPr>
            <w:tcW w:w="1696" w:type="dxa"/>
            <w:shd w:val="clear" w:color="auto" w:fill="auto"/>
          </w:tcPr>
          <w:p w14:paraId="2AEEF013" w14:textId="3D9F8D63" w:rsidR="001E08BE" w:rsidRPr="00D702BC" w:rsidRDefault="001E08BE" w:rsidP="001E08BE">
            <w:pPr>
              <w:jc w:val="both"/>
              <w:rPr>
                <w:rFonts w:ascii="Arial" w:hAnsi="Arial" w:cs="Arial"/>
                <w:b/>
                <w:bCs/>
                <w:i/>
                <w:iCs/>
                <w:sz w:val="20"/>
                <w:szCs w:val="20"/>
              </w:rPr>
            </w:pPr>
            <w:r w:rsidRPr="00D702BC">
              <w:rPr>
                <w:rFonts w:ascii="Arial" w:hAnsi="Arial" w:cs="Arial"/>
                <w:b/>
                <w:bCs/>
                <w:i/>
                <w:iCs/>
                <w:sz w:val="20"/>
                <w:szCs w:val="20"/>
              </w:rPr>
              <w:t xml:space="preserve">Lot Width Primary Frontage (minimum) </w:t>
            </w:r>
          </w:p>
        </w:tc>
        <w:tc>
          <w:tcPr>
            <w:tcW w:w="2268" w:type="dxa"/>
          </w:tcPr>
          <w:p w14:paraId="2B7CD5A1" w14:textId="493C67EF" w:rsidR="001E08BE" w:rsidRPr="001E08BE" w:rsidRDefault="001E08BE" w:rsidP="001E08BE">
            <w:pPr>
              <w:jc w:val="both"/>
              <w:rPr>
                <w:rFonts w:ascii="Arial" w:hAnsi="Arial" w:cs="Arial"/>
                <w:i/>
                <w:iCs/>
                <w:sz w:val="20"/>
                <w:szCs w:val="20"/>
              </w:rPr>
            </w:pPr>
            <w:r w:rsidRPr="001E08BE">
              <w:rPr>
                <w:rFonts w:ascii="Arial" w:hAnsi="Arial" w:cs="Arial"/>
                <w:i/>
                <w:iCs/>
                <w:sz w:val="20"/>
                <w:szCs w:val="20"/>
              </w:rPr>
              <w:t>30m</w:t>
            </w:r>
          </w:p>
        </w:tc>
        <w:tc>
          <w:tcPr>
            <w:tcW w:w="3402" w:type="dxa"/>
          </w:tcPr>
          <w:p w14:paraId="63EED780" w14:textId="1941AE9B" w:rsidR="001E08BE" w:rsidRPr="001E08BE" w:rsidRDefault="00D702BC" w:rsidP="001E08BE">
            <w:pPr>
              <w:jc w:val="both"/>
              <w:rPr>
                <w:rFonts w:ascii="Arial" w:hAnsi="Arial" w:cs="Arial"/>
                <w:i/>
                <w:iCs/>
                <w:sz w:val="20"/>
                <w:szCs w:val="20"/>
              </w:rPr>
            </w:pPr>
            <w:r>
              <w:rPr>
                <w:rFonts w:ascii="Arial" w:hAnsi="Arial" w:cs="Arial"/>
                <w:i/>
                <w:iCs/>
                <w:sz w:val="20"/>
                <w:szCs w:val="20"/>
              </w:rPr>
              <w:t xml:space="preserve">Compliance achieved as noted above. </w:t>
            </w:r>
          </w:p>
        </w:tc>
        <w:tc>
          <w:tcPr>
            <w:tcW w:w="1650" w:type="dxa"/>
          </w:tcPr>
          <w:p w14:paraId="6F1C5B53" w14:textId="4517AAED" w:rsidR="001E08BE" w:rsidRPr="001E08BE" w:rsidRDefault="00CD3A0D" w:rsidP="00CD3A0D">
            <w:pPr>
              <w:jc w:val="center"/>
              <w:rPr>
                <w:rFonts w:ascii="Arial" w:hAnsi="Arial" w:cs="Arial"/>
                <w:i/>
                <w:iCs/>
                <w:sz w:val="20"/>
                <w:szCs w:val="20"/>
              </w:rPr>
            </w:pPr>
            <w:r>
              <w:rPr>
                <w:rFonts w:ascii="Arial" w:hAnsi="Arial" w:cs="Arial"/>
                <w:i/>
                <w:iCs/>
                <w:sz w:val="20"/>
                <w:szCs w:val="20"/>
              </w:rPr>
              <w:t>Yes</w:t>
            </w:r>
          </w:p>
        </w:tc>
      </w:tr>
      <w:tr w:rsidR="001E08BE" w:rsidRPr="001E08BE" w14:paraId="7B5ED22C" w14:textId="77777777" w:rsidTr="002D026A">
        <w:tc>
          <w:tcPr>
            <w:tcW w:w="1696" w:type="dxa"/>
            <w:shd w:val="clear" w:color="auto" w:fill="auto"/>
          </w:tcPr>
          <w:p w14:paraId="4A3145FA" w14:textId="3285DB9D" w:rsidR="001E08BE" w:rsidRPr="00D702BC" w:rsidRDefault="001E08BE" w:rsidP="001E08BE">
            <w:pPr>
              <w:jc w:val="both"/>
              <w:rPr>
                <w:rFonts w:ascii="Arial" w:hAnsi="Arial" w:cs="Arial"/>
                <w:b/>
                <w:bCs/>
                <w:i/>
                <w:iCs/>
                <w:sz w:val="20"/>
                <w:szCs w:val="20"/>
              </w:rPr>
            </w:pPr>
            <w:r w:rsidRPr="00D702BC">
              <w:rPr>
                <w:rFonts w:ascii="Arial" w:hAnsi="Arial" w:cs="Arial"/>
                <w:b/>
                <w:bCs/>
                <w:i/>
                <w:iCs/>
                <w:sz w:val="20"/>
                <w:szCs w:val="20"/>
              </w:rPr>
              <w:t xml:space="preserve">Front setback encroachments </w:t>
            </w:r>
          </w:p>
        </w:tc>
        <w:tc>
          <w:tcPr>
            <w:tcW w:w="2268" w:type="dxa"/>
          </w:tcPr>
          <w:p w14:paraId="5F5663FB" w14:textId="49CE8E97" w:rsidR="001E08BE" w:rsidRPr="001E08BE" w:rsidRDefault="001E08BE" w:rsidP="001E08BE">
            <w:pPr>
              <w:jc w:val="both"/>
              <w:rPr>
                <w:rFonts w:ascii="Arial" w:hAnsi="Arial" w:cs="Arial"/>
                <w:i/>
                <w:iCs/>
                <w:sz w:val="20"/>
                <w:szCs w:val="20"/>
              </w:rPr>
            </w:pPr>
            <w:r w:rsidRPr="001E08BE">
              <w:rPr>
                <w:rFonts w:ascii="Arial" w:hAnsi="Arial" w:cs="Arial"/>
                <w:i/>
                <w:iCs/>
                <w:color w:val="212529"/>
                <w:sz w:val="20"/>
                <w:szCs w:val="20"/>
                <w:shd w:val="clear" w:color="auto" w:fill="FFFFFF"/>
              </w:rPr>
              <w:t>Balconies and other articulation may encroach into the setback to a maximum of 4.5m from the boundary for the first 3 storeys, and for a maximum of 50% of the façade length.</w:t>
            </w:r>
          </w:p>
        </w:tc>
        <w:tc>
          <w:tcPr>
            <w:tcW w:w="3402" w:type="dxa"/>
          </w:tcPr>
          <w:p w14:paraId="6BD82AA5" w14:textId="5B3EB5C1" w:rsidR="001E08BE" w:rsidRPr="001E08BE" w:rsidRDefault="00D702BC" w:rsidP="001E08BE">
            <w:pPr>
              <w:jc w:val="both"/>
              <w:rPr>
                <w:rFonts w:ascii="Arial" w:hAnsi="Arial" w:cs="Arial"/>
                <w:i/>
                <w:iCs/>
                <w:sz w:val="20"/>
                <w:szCs w:val="20"/>
              </w:rPr>
            </w:pPr>
            <w:r>
              <w:rPr>
                <w:rFonts w:ascii="Arial" w:hAnsi="Arial" w:cs="Arial"/>
                <w:i/>
                <w:iCs/>
                <w:sz w:val="20"/>
                <w:szCs w:val="20"/>
              </w:rPr>
              <w:t xml:space="preserve">Setback controls have been imposed in accordance with the Oran Park DCP. </w:t>
            </w:r>
          </w:p>
        </w:tc>
        <w:tc>
          <w:tcPr>
            <w:tcW w:w="1650" w:type="dxa"/>
          </w:tcPr>
          <w:p w14:paraId="10467E0F" w14:textId="38050DA8" w:rsidR="001E08BE" w:rsidRPr="001E08BE" w:rsidRDefault="00D702BC" w:rsidP="00CD3A0D">
            <w:pPr>
              <w:jc w:val="center"/>
              <w:rPr>
                <w:rFonts w:ascii="Arial" w:hAnsi="Arial" w:cs="Arial"/>
                <w:i/>
                <w:iCs/>
                <w:sz w:val="20"/>
                <w:szCs w:val="20"/>
              </w:rPr>
            </w:pPr>
            <w:r>
              <w:rPr>
                <w:rFonts w:ascii="Arial" w:hAnsi="Arial" w:cs="Arial"/>
                <w:i/>
                <w:iCs/>
                <w:sz w:val="20"/>
                <w:szCs w:val="20"/>
              </w:rPr>
              <w:t>Not applicable.</w:t>
            </w:r>
          </w:p>
        </w:tc>
      </w:tr>
      <w:tr w:rsidR="00D702BC" w:rsidRPr="001E08BE" w14:paraId="6935704C" w14:textId="77777777" w:rsidTr="002D026A">
        <w:tc>
          <w:tcPr>
            <w:tcW w:w="1696" w:type="dxa"/>
            <w:shd w:val="clear" w:color="auto" w:fill="auto"/>
          </w:tcPr>
          <w:p w14:paraId="7FB1E22F" w14:textId="78F0687A" w:rsidR="00D702BC" w:rsidRPr="00D702BC" w:rsidRDefault="00D702BC" w:rsidP="00D702BC">
            <w:pPr>
              <w:jc w:val="both"/>
              <w:rPr>
                <w:rFonts w:ascii="Arial" w:hAnsi="Arial" w:cs="Arial"/>
                <w:b/>
                <w:bCs/>
                <w:i/>
                <w:iCs/>
                <w:sz w:val="20"/>
                <w:szCs w:val="20"/>
              </w:rPr>
            </w:pPr>
            <w:r w:rsidRPr="00D702BC">
              <w:rPr>
                <w:rFonts w:ascii="Arial" w:hAnsi="Arial" w:cs="Arial"/>
                <w:b/>
                <w:bCs/>
                <w:i/>
                <w:iCs/>
                <w:color w:val="212529"/>
                <w:sz w:val="20"/>
                <w:szCs w:val="20"/>
                <w:shd w:val="clear" w:color="auto" w:fill="FFFFFF"/>
              </w:rPr>
              <w:t>Secondary street setback (min)</w:t>
            </w:r>
          </w:p>
        </w:tc>
        <w:tc>
          <w:tcPr>
            <w:tcW w:w="2268" w:type="dxa"/>
          </w:tcPr>
          <w:p w14:paraId="663F1D2F" w14:textId="10FA2834" w:rsidR="00D702BC" w:rsidRPr="001E08BE" w:rsidRDefault="00D702BC" w:rsidP="00D702BC">
            <w:pPr>
              <w:jc w:val="both"/>
              <w:rPr>
                <w:rFonts w:ascii="Arial" w:hAnsi="Arial" w:cs="Arial"/>
                <w:i/>
                <w:iCs/>
                <w:sz w:val="20"/>
                <w:szCs w:val="20"/>
              </w:rPr>
            </w:pPr>
            <w:r w:rsidRPr="001E08BE">
              <w:rPr>
                <w:rFonts w:ascii="Arial" w:hAnsi="Arial" w:cs="Arial"/>
                <w:i/>
                <w:iCs/>
                <w:color w:val="212529"/>
                <w:sz w:val="20"/>
                <w:szCs w:val="20"/>
                <w:shd w:val="clear" w:color="auto" w:fill="FFFFFF"/>
              </w:rPr>
              <w:t>6m</w:t>
            </w:r>
          </w:p>
        </w:tc>
        <w:tc>
          <w:tcPr>
            <w:tcW w:w="3402" w:type="dxa"/>
          </w:tcPr>
          <w:p w14:paraId="291B6044" w14:textId="298BE8E3" w:rsidR="00D702BC" w:rsidRPr="001E08BE" w:rsidRDefault="00D702BC" w:rsidP="00D702BC">
            <w:pPr>
              <w:jc w:val="both"/>
              <w:rPr>
                <w:rFonts w:ascii="Arial" w:hAnsi="Arial" w:cs="Arial"/>
                <w:i/>
                <w:iCs/>
                <w:sz w:val="20"/>
                <w:szCs w:val="20"/>
              </w:rPr>
            </w:pPr>
            <w:r>
              <w:rPr>
                <w:rFonts w:ascii="Arial" w:hAnsi="Arial" w:cs="Arial"/>
                <w:i/>
                <w:iCs/>
                <w:sz w:val="20"/>
                <w:szCs w:val="20"/>
              </w:rPr>
              <w:t xml:space="preserve">Setback controls have been imposed in accordance with the Oran Park DCP. </w:t>
            </w:r>
          </w:p>
        </w:tc>
        <w:tc>
          <w:tcPr>
            <w:tcW w:w="1650" w:type="dxa"/>
          </w:tcPr>
          <w:p w14:paraId="1E4F7482" w14:textId="34E9AB6A" w:rsidR="00D702BC" w:rsidRPr="001E08BE" w:rsidRDefault="00D702BC" w:rsidP="00CD3A0D">
            <w:pPr>
              <w:jc w:val="center"/>
              <w:rPr>
                <w:rFonts w:ascii="Arial" w:hAnsi="Arial" w:cs="Arial"/>
                <w:i/>
                <w:iCs/>
                <w:sz w:val="20"/>
                <w:szCs w:val="20"/>
              </w:rPr>
            </w:pPr>
            <w:r>
              <w:rPr>
                <w:rFonts w:ascii="Arial" w:hAnsi="Arial" w:cs="Arial"/>
                <w:i/>
                <w:iCs/>
                <w:sz w:val="20"/>
                <w:szCs w:val="20"/>
              </w:rPr>
              <w:t>Not applicable.</w:t>
            </w:r>
          </w:p>
        </w:tc>
      </w:tr>
      <w:tr w:rsidR="00D702BC" w:rsidRPr="001E08BE" w14:paraId="43CF8E68" w14:textId="77777777" w:rsidTr="002D026A">
        <w:tc>
          <w:tcPr>
            <w:tcW w:w="1696" w:type="dxa"/>
            <w:shd w:val="clear" w:color="auto" w:fill="auto"/>
          </w:tcPr>
          <w:p w14:paraId="422201FB" w14:textId="6F09FE24" w:rsidR="00D702BC" w:rsidRPr="00D702BC" w:rsidRDefault="00D702BC" w:rsidP="00D702BC">
            <w:pPr>
              <w:jc w:val="both"/>
              <w:rPr>
                <w:rFonts w:ascii="Arial" w:hAnsi="Arial" w:cs="Arial"/>
                <w:b/>
                <w:bCs/>
                <w:i/>
                <w:iCs/>
                <w:sz w:val="20"/>
                <w:szCs w:val="20"/>
              </w:rPr>
            </w:pPr>
            <w:r w:rsidRPr="00D702BC">
              <w:rPr>
                <w:rFonts w:ascii="Arial" w:hAnsi="Arial" w:cs="Arial"/>
                <w:b/>
                <w:bCs/>
                <w:i/>
                <w:iCs/>
                <w:color w:val="212529"/>
                <w:sz w:val="20"/>
                <w:szCs w:val="20"/>
                <w:shd w:val="clear" w:color="auto" w:fill="FFFFFF"/>
              </w:rPr>
              <w:t>Side Setback (min)</w:t>
            </w:r>
          </w:p>
        </w:tc>
        <w:tc>
          <w:tcPr>
            <w:tcW w:w="2268" w:type="dxa"/>
          </w:tcPr>
          <w:p w14:paraId="2DB2C304" w14:textId="4F65D56A" w:rsidR="00D702BC" w:rsidRPr="001E08BE" w:rsidRDefault="00D702BC" w:rsidP="00D702BC">
            <w:pPr>
              <w:jc w:val="both"/>
              <w:rPr>
                <w:rFonts w:ascii="Arial" w:hAnsi="Arial" w:cs="Arial"/>
                <w:i/>
                <w:iCs/>
                <w:sz w:val="20"/>
                <w:szCs w:val="20"/>
              </w:rPr>
            </w:pPr>
            <w:r w:rsidRPr="001E08BE">
              <w:rPr>
                <w:rFonts w:ascii="Arial" w:hAnsi="Arial" w:cs="Arial"/>
                <w:i/>
                <w:iCs/>
                <w:sz w:val="20"/>
                <w:szCs w:val="20"/>
              </w:rPr>
              <w:t>3m</w:t>
            </w:r>
          </w:p>
        </w:tc>
        <w:tc>
          <w:tcPr>
            <w:tcW w:w="3402" w:type="dxa"/>
          </w:tcPr>
          <w:p w14:paraId="75D9FC06" w14:textId="026D3092" w:rsidR="00D702BC" w:rsidRPr="001E08BE" w:rsidRDefault="00D702BC" w:rsidP="00D702BC">
            <w:pPr>
              <w:jc w:val="both"/>
              <w:rPr>
                <w:rFonts w:ascii="Arial" w:hAnsi="Arial" w:cs="Arial"/>
                <w:i/>
                <w:iCs/>
                <w:sz w:val="20"/>
                <w:szCs w:val="20"/>
              </w:rPr>
            </w:pPr>
            <w:r>
              <w:rPr>
                <w:rFonts w:ascii="Arial" w:hAnsi="Arial" w:cs="Arial"/>
                <w:i/>
                <w:iCs/>
                <w:sz w:val="20"/>
                <w:szCs w:val="20"/>
              </w:rPr>
              <w:t xml:space="preserve">Setback controls have been imposed in accordance with the Oran Park DCP. </w:t>
            </w:r>
          </w:p>
        </w:tc>
        <w:tc>
          <w:tcPr>
            <w:tcW w:w="1650" w:type="dxa"/>
          </w:tcPr>
          <w:p w14:paraId="3DF03935" w14:textId="0361E2FE" w:rsidR="00D702BC" w:rsidRPr="001E08BE" w:rsidRDefault="00D702BC" w:rsidP="00CD3A0D">
            <w:pPr>
              <w:jc w:val="center"/>
              <w:rPr>
                <w:rFonts w:ascii="Arial" w:hAnsi="Arial" w:cs="Arial"/>
                <w:i/>
                <w:iCs/>
                <w:sz w:val="20"/>
                <w:szCs w:val="20"/>
              </w:rPr>
            </w:pPr>
            <w:r>
              <w:rPr>
                <w:rFonts w:ascii="Arial" w:hAnsi="Arial" w:cs="Arial"/>
                <w:i/>
                <w:iCs/>
                <w:sz w:val="20"/>
                <w:szCs w:val="20"/>
              </w:rPr>
              <w:t>Not applicable.</w:t>
            </w:r>
          </w:p>
        </w:tc>
      </w:tr>
      <w:tr w:rsidR="00D702BC" w:rsidRPr="001E08BE" w14:paraId="3A4639C5" w14:textId="77777777" w:rsidTr="002D026A">
        <w:tc>
          <w:tcPr>
            <w:tcW w:w="1696" w:type="dxa"/>
            <w:shd w:val="clear" w:color="auto" w:fill="auto"/>
          </w:tcPr>
          <w:p w14:paraId="0C96F1B1" w14:textId="0E029D12" w:rsidR="00D702BC" w:rsidRPr="00D702BC" w:rsidRDefault="00D702BC" w:rsidP="00D702BC">
            <w:pPr>
              <w:jc w:val="both"/>
              <w:rPr>
                <w:rFonts w:ascii="Arial" w:hAnsi="Arial" w:cs="Arial"/>
                <w:b/>
                <w:bCs/>
                <w:i/>
                <w:iCs/>
                <w:sz w:val="20"/>
                <w:szCs w:val="20"/>
              </w:rPr>
            </w:pPr>
            <w:r w:rsidRPr="00D702BC">
              <w:rPr>
                <w:rFonts w:ascii="Arial" w:hAnsi="Arial" w:cs="Arial"/>
                <w:b/>
                <w:bCs/>
                <w:i/>
                <w:iCs/>
                <w:color w:val="212529"/>
                <w:sz w:val="20"/>
                <w:szCs w:val="20"/>
                <w:shd w:val="clear" w:color="auto" w:fill="FFFFFF"/>
              </w:rPr>
              <w:t>Rear setback (min)</w:t>
            </w:r>
          </w:p>
        </w:tc>
        <w:tc>
          <w:tcPr>
            <w:tcW w:w="2268" w:type="dxa"/>
          </w:tcPr>
          <w:p w14:paraId="15C2D8D6" w14:textId="15999360" w:rsidR="00D702BC" w:rsidRPr="001E08BE" w:rsidRDefault="00D702BC" w:rsidP="00D702BC">
            <w:pPr>
              <w:jc w:val="both"/>
              <w:rPr>
                <w:rFonts w:ascii="Arial" w:hAnsi="Arial" w:cs="Arial"/>
                <w:i/>
                <w:iCs/>
                <w:sz w:val="20"/>
                <w:szCs w:val="20"/>
              </w:rPr>
            </w:pPr>
            <w:r w:rsidRPr="001E08BE">
              <w:rPr>
                <w:rFonts w:ascii="Arial" w:hAnsi="Arial" w:cs="Arial"/>
                <w:i/>
                <w:iCs/>
                <w:sz w:val="20"/>
                <w:szCs w:val="20"/>
              </w:rPr>
              <w:t xml:space="preserve">6m </w:t>
            </w:r>
          </w:p>
        </w:tc>
        <w:tc>
          <w:tcPr>
            <w:tcW w:w="3402" w:type="dxa"/>
          </w:tcPr>
          <w:p w14:paraId="7ADDC701" w14:textId="694E146B" w:rsidR="00D702BC" w:rsidRPr="001E08BE" w:rsidRDefault="00D702BC" w:rsidP="00D702BC">
            <w:pPr>
              <w:jc w:val="both"/>
              <w:rPr>
                <w:rFonts w:ascii="Arial" w:hAnsi="Arial" w:cs="Arial"/>
                <w:i/>
                <w:iCs/>
                <w:sz w:val="20"/>
                <w:szCs w:val="20"/>
              </w:rPr>
            </w:pPr>
            <w:r>
              <w:rPr>
                <w:rFonts w:ascii="Arial" w:hAnsi="Arial" w:cs="Arial"/>
                <w:i/>
                <w:iCs/>
                <w:sz w:val="20"/>
                <w:szCs w:val="20"/>
              </w:rPr>
              <w:t xml:space="preserve">Setback controls have been imposed in accordance with the Oran Park DCP. </w:t>
            </w:r>
          </w:p>
        </w:tc>
        <w:tc>
          <w:tcPr>
            <w:tcW w:w="1650" w:type="dxa"/>
          </w:tcPr>
          <w:p w14:paraId="6F0552CB" w14:textId="5D4DE9D0" w:rsidR="00D702BC" w:rsidRPr="001E08BE" w:rsidRDefault="00D702BC" w:rsidP="00CD3A0D">
            <w:pPr>
              <w:jc w:val="center"/>
              <w:rPr>
                <w:rFonts w:ascii="Arial" w:hAnsi="Arial" w:cs="Arial"/>
                <w:i/>
                <w:iCs/>
                <w:sz w:val="20"/>
                <w:szCs w:val="20"/>
              </w:rPr>
            </w:pPr>
            <w:r>
              <w:rPr>
                <w:rFonts w:ascii="Arial" w:hAnsi="Arial" w:cs="Arial"/>
                <w:i/>
                <w:iCs/>
                <w:sz w:val="20"/>
                <w:szCs w:val="20"/>
              </w:rPr>
              <w:t>Not applicable.</w:t>
            </w:r>
          </w:p>
        </w:tc>
      </w:tr>
      <w:tr w:rsidR="00D702BC" w:rsidRPr="001E08BE" w14:paraId="04E14275" w14:textId="77777777" w:rsidTr="002D026A">
        <w:tc>
          <w:tcPr>
            <w:tcW w:w="1696" w:type="dxa"/>
            <w:shd w:val="clear" w:color="auto" w:fill="auto"/>
          </w:tcPr>
          <w:p w14:paraId="1E316E3A" w14:textId="7AB9E1E6" w:rsidR="00D702BC" w:rsidRPr="00D702BC" w:rsidRDefault="00D702BC" w:rsidP="00D702BC">
            <w:pPr>
              <w:jc w:val="both"/>
              <w:rPr>
                <w:rFonts w:ascii="Arial" w:hAnsi="Arial" w:cs="Arial"/>
                <w:b/>
                <w:bCs/>
                <w:i/>
                <w:iCs/>
                <w:color w:val="212529"/>
                <w:sz w:val="20"/>
                <w:szCs w:val="20"/>
                <w:shd w:val="clear" w:color="auto" w:fill="FFFFFF"/>
              </w:rPr>
            </w:pPr>
            <w:r w:rsidRPr="00D702BC">
              <w:rPr>
                <w:rFonts w:ascii="Arial" w:hAnsi="Arial" w:cs="Arial"/>
                <w:b/>
                <w:bCs/>
                <w:i/>
                <w:iCs/>
                <w:color w:val="212529"/>
                <w:sz w:val="20"/>
                <w:szCs w:val="20"/>
                <w:shd w:val="clear" w:color="auto" w:fill="FFFFFF"/>
              </w:rPr>
              <w:t>Landscaped Area (min)</w:t>
            </w:r>
          </w:p>
        </w:tc>
        <w:tc>
          <w:tcPr>
            <w:tcW w:w="2268" w:type="dxa"/>
          </w:tcPr>
          <w:p w14:paraId="695E78E4" w14:textId="4A7CD5C9" w:rsidR="00D702BC" w:rsidRPr="001E08BE" w:rsidRDefault="00D702BC" w:rsidP="00D702BC">
            <w:pPr>
              <w:jc w:val="both"/>
              <w:rPr>
                <w:rFonts w:ascii="Arial" w:hAnsi="Arial" w:cs="Arial"/>
                <w:i/>
                <w:iCs/>
                <w:sz w:val="20"/>
                <w:szCs w:val="20"/>
              </w:rPr>
            </w:pPr>
            <w:r w:rsidRPr="001E08BE">
              <w:rPr>
                <w:rFonts w:ascii="Arial" w:hAnsi="Arial" w:cs="Arial"/>
                <w:i/>
                <w:iCs/>
                <w:color w:val="212529"/>
                <w:sz w:val="20"/>
                <w:szCs w:val="20"/>
                <w:shd w:val="clear" w:color="auto" w:fill="FFFFFF"/>
              </w:rPr>
              <w:t>30% of site area</w:t>
            </w:r>
          </w:p>
        </w:tc>
        <w:tc>
          <w:tcPr>
            <w:tcW w:w="3402" w:type="dxa"/>
          </w:tcPr>
          <w:p w14:paraId="1C4FE96D" w14:textId="42D9EF5D" w:rsidR="002F5988" w:rsidRPr="001D63E8" w:rsidRDefault="001D63E8" w:rsidP="00D702BC">
            <w:pPr>
              <w:jc w:val="both"/>
              <w:rPr>
                <w:rFonts w:ascii="Arial" w:hAnsi="Arial" w:cs="Arial"/>
                <w:sz w:val="20"/>
                <w:szCs w:val="20"/>
              </w:rPr>
            </w:pPr>
            <w:r w:rsidRPr="002D026A">
              <w:rPr>
                <w:rFonts w:ascii="Arial" w:hAnsi="Arial" w:cs="Arial"/>
                <w:i/>
                <w:iCs/>
                <w:sz w:val="20"/>
                <w:szCs w:val="20"/>
              </w:rPr>
              <w:t xml:space="preserve">As  noted in the main assessment report, the development site forms part of the Oran Park Town Centre and therefore is subject to the relevant matters contained in the Oran Park DCP. In Section 1 of the Oran Park DCP, it states that </w:t>
            </w:r>
            <w:r w:rsidRPr="002D026A">
              <w:rPr>
                <w:rFonts w:ascii="Arial" w:hAnsi="Arial" w:cs="Arial"/>
                <w:sz w:val="20"/>
                <w:szCs w:val="20"/>
              </w:rPr>
              <w:t>‘</w:t>
            </w:r>
            <w:r w:rsidRPr="002D026A">
              <w:rPr>
                <w:rFonts w:ascii="Arial" w:hAnsi="Arial" w:cs="Arial"/>
                <w:i/>
                <w:iCs/>
                <w:sz w:val="20"/>
                <w:szCs w:val="20"/>
              </w:rPr>
              <w:t xml:space="preserve">in the event of any inconsistency between this </w:t>
            </w:r>
            <w:r w:rsidRPr="001D63E8">
              <w:rPr>
                <w:rFonts w:ascii="Arial" w:hAnsi="Arial" w:cs="Arial"/>
                <w:i/>
                <w:iCs/>
                <w:sz w:val="20"/>
                <w:szCs w:val="20"/>
              </w:rPr>
              <w:t>DCP and any other DCP or policy of Council, this DCP shall prevail to the extent of the inconsistency</w:t>
            </w:r>
            <w:r w:rsidRPr="001D63E8">
              <w:rPr>
                <w:rFonts w:ascii="Arial" w:hAnsi="Arial" w:cs="Arial"/>
                <w:sz w:val="20"/>
                <w:szCs w:val="20"/>
              </w:rPr>
              <w:t>.’</w:t>
            </w:r>
            <w:r>
              <w:rPr>
                <w:rFonts w:ascii="Arial" w:hAnsi="Arial" w:cs="Arial"/>
                <w:sz w:val="20"/>
                <w:szCs w:val="20"/>
              </w:rPr>
              <w:t xml:space="preserve"> In Section 7.7.4 of the Oran Park DCP, it notes that a landscaping control is not applicable </w:t>
            </w:r>
            <w:r w:rsidR="00F971A9">
              <w:rPr>
                <w:rFonts w:ascii="Arial" w:hAnsi="Arial" w:cs="Arial"/>
                <w:sz w:val="20"/>
                <w:szCs w:val="20"/>
              </w:rPr>
              <w:lastRenderedPageBreak/>
              <w:t>for residential flat buildings located in a</w:t>
            </w:r>
            <w:r>
              <w:rPr>
                <w:rFonts w:ascii="Arial" w:hAnsi="Arial" w:cs="Arial"/>
                <w:sz w:val="20"/>
                <w:szCs w:val="20"/>
              </w:rPr>
              <w:t xml:space="preserve"> zoned B2 Local Centre. As such, a landscaping control of 30</w:t>
            </w:r>
            <w:r w:rsidRPr="001D63E8">
              <w:rPr>
                <w:rFonts w:ascii="Arial" w:hAnsi="Arial" w:cs="Arial"/>
                <w:sz w:val="20"/>
                <w:szCs w:val="20"/>
              </w:rPr>
              <w:t xml:space="preserve">% is not applicable to the development site. </w:t>
            </w:r>
          </w:p>
          <w:p w14:paraId="543BAE66" w14:textId="77777777" w:rsidR="001D63E8" w:rsidRPr="001D63E8" w:rsidRDefault="001D63E8" w:rsidP="00D702BC">
            <w:pPr>
              <w:jc w:val="both"/>
              <w:rPr>
                <w:rFonts w:ascii="Arial" w:hAnsi="Arial" w:cs="Arial"/>
                <w:i/>
                <w:iCs/>
                <w:sz w:val="20"/>
                <w:szCs w:val="20"/>
              </w:rPr>
            </w:pPr>
          </w:p>
          <w:p w14:paraId="6850AA27" w14:textId="0F44747A" w:rsidR="00F3791D" w:rsidRPr="002D026A" w:rsidRDefault="001D63E8" w:rsidP="00D702BC">
            <w:pPr>
              <w:jc w:val="both"/>
              <w:rPr>
                <w:rFonts w:ascii="Arial" w:hAnsi="Arial" w:cs="Arial"/>
                <w:sz w:val="20"/>
                <w:szCs w:val="20"/>
              </w:rPr>
            </w:pPr>
            <w:r w:rsidRPr="001D63E8">
              <w:rPr>
                <w:rFonts w:ascii="Arial" w:hAnsi="Arial" w:cs="Arial"/>
                <w:sz w:val="20"/>
                <w:szCs w:val="20"/>
              </w:rPr>
              <w:t>Whilst the above is noted, the development site provides a minimum landscaped area of 1</w:t>
            </w:r>
            <w:r w:rsidR="00CF1C12">
              <w:rPr>
                <w:rFonts w:ascii="Arial" w:hAnsi="Arial" w:cs="Arial"/>
                <w:sz w:val="20"/>
                <w:szCs w:val="20"/>
              </w:rPr>
              <w:t>,</w:t>
            </w:r>
            <w:r w:rsidRPr="001D63E8">
              <w:rPr>
                <w:rFonts w:ascii="Arial" w:hAnsi="Arial" w:cs="Arial"/>
                <w:sz w:val="20"/>
                <w:szCs w:val="20"/>
              </w:rPr>
              <w:t>820.078m</w:t>
            </w:r>
            <w:r w:rsidRPr="001D63E8">
              <w:rPr>
                <w:rFonts w:ascii="Arial" w:hAnsi="Arial" w:cs="Arial"/>
                <w:sz w:val="20"/>
                <w:szCs w:val="20"/>
                <w:vertAlign w:val="superscript"/>
              </w:rPr>
              <w:t>2</w:t>
            </w:r>
            <w:r w:rsidRPr="001D63E8">
              <w:rPr>
                <w:rFonts w:ascii="Arial" w:hAnsi="Arial" w:cs="Arial"/>
                <w:sz w:val="20"/>
                <w:szCs w:val="20"/>
              </w:rPr>
              <w:t xml:space="preserve"> (approximately), which equates to approximately of 28.28% of the total site area. </w:t>
            </w:r>
          </w:p>
        </w:tc>
        <w:tc>
          <w:tcPr>
            <w:tcW w:w="1650" w:type="dxa"/>
          </w:tcPr>
          <w:p w14:paraId="799C8683" w14:textId="110FAB9B" w:rsidR="00D702BC" w:rsidRPr="001E08BE" w:rsidRDefault="00D702BC" w:rsidP="00CD3A0D">
            <w:pPr>
              <w:jc w:val="center"/>
              <w:rPr>
                <w:rFonts w:ascii="Arial" w:hAnsi="Arial" w:cs="Arial"/>
                <w:i/>
                <w:iCs/>
                <w:sz w:val="20"/>
                <w:szCs w:val="20"/>
              </w:rPr>
            </w:pPr>
            <w:r>
              <w:rPr>
                <w:rFonts w:ascii="Arial" w:hAnsi="Arial" w:cs="Arial"/>
                <w:i/>
                <w:iCs/>
                <w:sz w:val="20"/>
                <w:szCs w:val="20"/>
              </w:rPr>
              <w:lastRenderedPageBreak/>
              <w:t>Not applicable.</w:t>
            </w:r>
          </w:p>
        </w:tc>
      </w:tr>
    </w:tbl>
    <w:p w14:paraId="177AE7FF" w14:textId="77777777" w:rsidR="001E08BE" w:rsidRDefault="001E08BE" w:rsidP="009D6FB3"/>
    <w:sectPr w:rsidR="001E08B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39A00" w14:textId="77777777" w:rsidR="00902B4C" w:rsidRDefault="00902B4C" w:rsidP="009D6FB3">
      <w:pPr>
        <w:spacing w:after="0" w:line="240" w:lineRule="auto"/>
      </w:pPr>
      <w:r>
        <w:separator/>
      </w:r>
    </w:p>
  </w:endnote>
  <w:endnote w:type="continuationSeparator" w:id="0">
    <w:p w14:paraId="73BC0D1D" w14:textId="77777777" w:rsidR="00902B4C" w:rsidRDefault="00902B4C" w:rsidP="009D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850765"/>
      <w:docPartObj>
        <w:docPartGallery w:val="Page Numbers (Bottom of Page)"/>
        <w:docPartUnique/>
      </w:docPartObj>
    </w:sdtPr>
    <w:sdtEndPr>
      <w:rPr>
        <w:noProof/>
      </w:rPr>
    </w:sdtEndPr>
    <w:sdtContent>
      <w:p w14:paraId="25923DA2" w14:textId="6FA731DD" w:rsidR="009D6FB3" w:rsidRDefault="009D6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A75A5" w14:textId="77777777" w:rsidR="009D6FB3" w:rsidRDefault="009D6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2783" w14:textId="77777777" w:rsidR="00902B4C" w:rsidRDefault="00902B4C" w:rsidP="009D6FB3">
      <w:pPr>
        <w:spacing w:after="0" w:line="240" w:lineRule="auto"/>
      </w:pPr>
      <w:r>
        <w:separator/>
      </w:r>
    </w:p>
  </w:footnote>
  <w:footnote w:type="continuationSeparator" w:id="0">
    <w:p w14:paraId="11E713EF" w14:textId="77777777" w:rsidR="00902B4C" w:rsidRDefault="00902B4C" w:rsidP="009D6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4D04" w14:textId="4AFEB51C" w:rsidR="009D6FB3" w:rsidRPr="009D6FB3" w:rsidRDefault="009D6FB3" w:rsidP="009D6FB3">
    <w:pPr>
      <w:pStyle w:val="Header"/>
      <w:jc w:val="center"/>
      <w:rPr>
        <w:rFonts w:ascii="Arial" w:hAnsi="Arial" w:cs="Arial"/>
        <w:b/>
        <w:bCs/>
      </w:rPr>
    </w:pPr>
    <w:r w:rsidRPr="009D6FB3">
      <w:rPr>
        <w:rFonts w:ascii="Arial" w:hAnsi="Arial" w:cs="Arial"/>
        <w:b/>
        <w:bCs/>
      </w:rPr>
      <w:t>Camden Development Control Plan 2019 Assessment 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988"/>
    <w:multiLevelType w:val="multilevel"/>
    <w:tmpl w:val="9A40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15AB9"/>
    <w:multiLevelType w:val="multilevel"/>
    <w:tmpl w:val="5AE09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27FBB"/>
    <w:multiLevelType w:val="hybridMultilevel"/>
    <w:tmpl w:val="1E923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A052FE"/>
    <w:multiLevelType w:val="multilevel"/>
    <w:tmpl w:val="28688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05CCC"/>
    <w:multiLevelType w:val="multilevel"/>
    <w:tmpl w:val="769A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26B64"/>
    <w:multiLevelType w:val="multilevel"/>
    <w:tmpl w:val="32B0D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0F187F"/>
    <w:multiLevelType w:val="multilevel"/>
    <w:tmpl w:val="05447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0D7050"/>
    <w:multiLevelType w:val="hybridMultilevel"/>
    <w:tmpl w:val="0824A5CC"/>
    <w:lvl w:ilvl="0" w:tplc="E40E73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C7D6F"/>
    <w:multiLevelType w:val="multilevel"/>
    <w:tmpl w:val="C21A1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0C63D7"/>
    <w:multiLevelType w:val="multilevel"/>
    <w:tmpl w:val="D514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832BE9"/>
    <w:multiLevelType w:val="multilevel"/>
    <w:tmpl w:val="99363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92B6D"/>
    <w:multiLevelType w:val="multilevel"/>
    <w:tmpl w:val="81C4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CF58D6"/>
    <w:multiLevelType w:val="multilevel"/>
    <w:tmpl w:val="BE68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951E94"/>
    <w:multiLevelType w:val="multilevel"/>
    <w:tmpl w:val="9AD4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C934F8"/>
    <w:multiLevelType w:val="hybridMultilevel"/>
    <w:tmpl w:val="90C44B34"/>
    <w:lvl w:ilvl="0" w:tplc="E40E73A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85D7B"/>
    <w:multiLevelType w:val="multilevel"/>
    <w:tmpl w:val="E290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304C60"/>
    <w:multiLevelType w:val="multilevel"/>
    <w:tmpl w:val="A420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1E158E"/>
    <w:multiLevelType w:val="multilevel"/>
    <w:tmpl w:val="5DEA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1B4681"/>
    <w:multiLevelType w:val="multilevel"/>
    <w:tmpl w:val="327A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37755C"/>
    <w:multiLevelType w:val="multilevel"/>
    <w:tmpl w:val="46F4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8074A7"/>
    <w:multiLevelType w:val="multilevel"/>
    <w:tmpl w:val="E83E0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34795"/>
    <w:multiLevelType w:val="multilevel"/>
    <w:tmpl w:val="B45A5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41C9B"/>
    <w:multiLevelType w:val="multilevel"/>
    <w:tmpl w:val="5298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FD5F44"/>
    <w:multiLevelType w:val="multilevel"/>
    <w:tmpl w:val="FEE6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4101F4"/>
    <w:multiLevelType w:val="multilevel"/>
    <w:tmpl w:val="37008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9433A4"/>
    <w:multiLevelType w:val="multilevel"/>
    <w:tmpl w:val="B592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D0EFD"/>
    <w:multiLevelType w:val="multilevel"/>
    <w:tmpl w:val="7C28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0E786A"/>
    <w:multiLevelType w:val="multilevel"/>
    <w:tmpl w:val="A0F2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161A43"/>
    <w:multiLevelType w:val="multilevel"/>
    <w:tmpl w:val="477C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6B441B"/>
    <w:multiLevelType w:val="multilevel"/>
    <w:tmpl w:val="064E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461983"/>
    <w:multiLevelType w:val="multilevel"/>
    <w:tmpl w:val="F042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3162E4"/>
    <w:multiLevelType w:val="hybridMultilevel"/>
    <w:tmpl w:val="FC2A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E34823"/>
    <w:multiLevelType w:val="multilevel"/>
    <w:tmpl w:val="35F8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F02F96"/>
    <w:multiLevelType w:val="multilevel"/>
    <w:tmpl w:val="85A6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686B09"/>
    <w:multiLevelType w:val="multilevel"/>
    <w:tmpl w:val="1DA2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8E5C3A"/>
    <w:multiLevelType w:val="multilevel"/>
    <w:tmpl w:val="BF8CFC34"/>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83342496">
    <w:abstractNumId w:val="35"/>
  </w:num>
  <w:num w:numId="2" w16cid:durableId="666444909">
    <w:abstractNumId w:val="28"/>
  </w:num>
  <w:num w:numId="3" w16cid:durableId="223031581">
    <w:abstractNumId w:val="16"/>
  </w:num>
  <w:num w:numId="4" w16cid:durableId="242954424">
    <w:abstractNumId w:val="27"/>
  </w:num>
  <w:num w:numId="5" w16cid:durableId="1575775832">
    <w:abstractNumId w:val="8"/>
  </w:num>
  <w:num w:numId="6" w16cid:durableId="1007320617">
    <w:abstractNumId w:val="9"/>
  </w:num>
  <w:num w:numId="7" w16cid:durableId="854465047">
    <w:abstractNumId w:val="15"/>
  </w:num>
  <w:num w:numId="8" w16cid:durableId="1161658078">
    <w:abstractNumId w:val="34"/>
  </w:num>
  <w:num w:numId="9" w16cid:durableId="1681809378">
    <w:abstractNumId w:val="23"/>
  </w:num>
  <w:num w:numId="10" w16cid:durableId="470052332">
    <w:abstractNumId w:val="24"/>
  </w:num>
  <w:num w:numId="11" w16cid:durableId="1342734197">
    <w:abstractNumId w:val="0"/>
  </w:num>
  <w:num w:numId="12" w16cid:durableId="1361391998">
    <w:abstractNumId w:val="13"/>
  </w:num>
  <w:num w:numId="13" w16cid:durableId="643507641">
    <w:abstractNumId w:val="31"/>
  </w:num>
  <w:num w:numId="14" w16cid:durableId="1481463503">
    <w:abstractNumId w:val="6"/>
  </w:num>
  <w:num w:numId="15" w16cid:durableId="555550906">
    <w:abstractNumId w:val="5"/>
  </w:num>
  <w:num w:numId="16" w16cid:durableId="1993290660">
    <w:abstractNumId w:val="30"/>
  </w:num>
  <w:num w:numId="17" w16cid:durableId="80683142">
    <w:abstractNumId w:val="11"/>
  </w:num>
  <w:num w:numId="18" w16cid:durableId="2033066303">
    <w:abstractNumId w:val="3"/>
  </w:num>
  <w:num w:numId="19" w16cid:durableId="1280993350">
    <w:abstractNumId w:val="29"/>
  </w:num>
  <w:num w:numId="20" w16cid:durableId="1698116911">
    <w:abstractNumId w:val="18"/>
  </w:num>
  <w:num w:numId="21" w16cid:durableId="485586771">
    <w:abstractNumId w:val="19"/>
  </w:num>
  <w:num w:numId="22" w16cid:durableId="221452312">
    <w:abstractNumId w:val="22"/>
  </w:num>
  <w:num w:numId="23" w16cid:durableId="545602180">
    <w:abstractNumId w:val="20"/>
  </w:num>
  <w:num w:numId="24" w16cid:durableId="1154494853">
    <w:abstractNumId w:val="1"/>
  </w:num>
  <w:num w:numId="25" w16cid:durableId="1735084921">
    <w:abstractNumId w:val="32"/>
  </w:num>
  <w:num w:numId="26" w16cid:durableId="1900284003">
    <w:abstractNumId w:val="26"/>
  </w:num>
  <w:num w:numId="27" w16cid:durableId="1046218048">
    <w:abstractNumId w:val="25"/>
  </w:num>
  <w:num w:numId="28" w16cid:durableId="1376542805">
    <w:abstractNumId w:val="33"/>
  </w:num>
  <w:num w:numId="29" w16cid:durableId="1039621279">
    <w:abstractNumId w:val="21"/>
  </w:num>
  <w:num w:numId="30" w16cid:durableId="243807097">
    <w:abstractNumId w:val="4"/>
  </w:num>
  <w:num w:numId="31" w16cid:durableId="1813986395">
    <w:abstractNumId w:val="10"/>
  </w:num>
  <w:num w:numId="32" w16cid:durableId="1352993102">
    <w:abstractNumId w:val="12"/>
  </w:num>
  <w:num w:numId="33" w16cid:durableId="997003551">
    <w:abstractNumId w:val="17"/>
  </w:num>
  <w:num w:numId="34" w16cid:durableId="438568706">
    <w:abstractNumId w:val="2"/>
  </w:num>
  <w:num w:numId="35" w16cid:durableId="1394546861">
    <w:abstractNumId w:val="14"/>
  </w:num>
  <w:num w:numId="36" w16cid:durableId="15728912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55"/>
    <w:rsid w:val="000104BA"/>
    <w:rsid w:val="00101954"/>
    <w:rsid w:val="0014398E"/>
    <w:rsid w:val="00160E3B"/>
    <w:rsid w:val="001D63E8"/>
    <w:rsid w:val="001D7F85"/>
    <w:rsid w:val="001E08BE"/>
    <w:rsid w:val="002D026A"/>
    <w:rsid w:val="002D1E5F"/>
    <w:rsid w:val="002F5988"/>
    <w:rsid w:val="003559AB"/>
    <w:rsid w:val="00465615"/>
    <w:rsid w:val="004F5EAB"/>
    <w:rsid w:val="005D6673"/>
    <w:rsid w:val="00636C3C"/>
    <w:rsid w:val="00660103"/>
    <w:rsid w:val="006807AD"/>
    <w:rsid w:val="008A3CFF"/>
    <w:rsid w:val="00902B4C"/>
    <w:rsid w:val="009248D0"/>
    <w:rsid w:val="009464CE"/>
    <w:rsid w:val="009C76F0"/>
    <w:rsid w:val="009D6FB3"/>
    <w:rsid w:val="00AA3455"/>
    <w:rsid w:val="00AB51B2"/>
    <w:rsid w:val="00AC29DB"/>
    <w:rsid w:val="00B40657"/>
    <w:rsid w:val="00C176FD"/>
    <w:rsid w:val="00C35784"/>
    <w:rsid w:val="00C7112D"/>
    <w:rsid w:val="00CD3A0D"/>
    <w:rsid w:val="00CF1C12"/>
    <w:rsid w:val="00D01913"/>
    <w:rsid w:val="00D44A6B"/>
    <w:rsid w:val="00D53FDD"/>
    <w:rsid w:val="00D702BC"/>
    <w:rsid w:val="00DC1C36"/>
    <w:rsid w:val="00E6371E"/>
    <w:rsid w:val="00F3791D"/>
    <w:rsid w:val="00F6090C"/>
    <w:rsid w:val="00F6462D"/>
    <w:rsid w:val="00F97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8E61"/>
  <w15:chartTrackingRefBased/>
  <w15:docId w15:val="{D6BF31C0-6825-4E88-B8CA-4ED1B5BD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FB3"/>
  </w:style>
  <w:style w:type="paragraph" w:styleId="Footer">
    <w:name w:val="footer"/>
    <w:basedOn w:val="Normal"/>
    <w:link w:val="FooterChar"/>
    <w:uiPriority w:val="99"/>
    <w:unhideWhenUsed/>
    <w:rsid w:val="009D6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FB3"/>
  </w:style>
  <w:style w:type="table" w:styleId="TableGrid">
    <w:name w:val="Table Grid"/>
    <w:basedOn w:val="TableNormal"/>
    <w:uiPriority w:val="39"/>
    <w:rsid w:val="009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FB3"/>
    <w:pPr>
      <w:ind w:left="720"/>
      <w:contextualSpacing/>
    </w:pPr>
  </w:style>
  <w:style w:type="paragraph" w:styleId="NormalWeb">
    <w:name w:val="Normal (Web)"/>
    <w:basedOn w:val="Normal"/>
    <w:uiPriority w:val="99"/>
    <w:semiHidden/>
    <w:unhideWhenUsed/>
    <w:rsid w:val="009D6FB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9D6FB3"/>
    <w:rPr>
      <w:color w:val="0000FF"/>
      <w:u w:val="single"/>
    </w:rPr>
  </w:style>
  <w:style w:type="paragraph" w:styleId="NoSpacing">
    <w:name w:val="No Spacing"/>
    <w:uiPriority w:val="1"/>
    <w:qFormat/>
    <w:rsid w:val="009D6FB3"/>
    <w:pPr>
      <w:spacing w:after="0" w:line="240" w:lineRule="auto"/>
    </w:pPr>
  </w:style>
  <w:style w:type="character" w:styleId="Emphasis">
    <w:name w:val="Emphasis"/>
    <w:basedOn w:val="DefaultParagraphFont"/>
    <w:uiPriority w:val="20"/>
    <w:qFormat/>
    <w:rsid w:val="001E08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121">
      <w:bodyDiv w:val="1"/>
      <w:marLeft w:val="0"/>
      <w:marRight w:val="0"/>
      <w:marTop w:val="0"/>
      <w:marBottom w:val="0"/>
      <w:divBdr>
        <w:top w:val="none" w:sz="0" w:space="0" w:color="auto"/>
        <w:left w:val="none" w:sz="0" w:space="0" w:color="auto"/>
        <w:bottom w:val="none" w:sz="0" w:space="0" w:color="auto"/>
        <w:right w:val="none" w:sz="0" w:space="0" w:color="auto"/>
      </w:divBdr>
    </w:div>
    <w:div w:id="66541117">
      <w:bodyDiv w:val="1"/>
      <w:marLeft w:val="0"/>
      <w:marRight w:val="0"/>
      <w:marTop w:val="0"/>
      <w:marBottom w:val="0"/>
      <w:divBdr>
        <w:top w:val="none" w:sz="0" w:space="0" w:color="auto"/>
        <w:left w:val="none" w:sz="0" w:space="0" w:color="auto"/>
        <w:bottom w:val="none" w:sz="0" w:space="0" w:color="auto"/>
        <w:right w:val="none" w:sz="0" w:space="0" w:color="auto"/>
      </w:divBdr>
    </w:div>
    <w:div w:id="78069015">
      <w:bodyDiv w:val="1"/>
      <w:marLeft w:val="0"/>
      <w:marRight w:val="0"/>
      <w:marTop w:val="0"/>
      <w:marBottom w:val="0"/>
      <w:divBdr>
        <w:top w:val="none" w:sz="0" w:space="0" w:color="auto"/>
        <w:left w:val="none" w:sz="0" w:space="0" w:color="auto"/>
        <w:bottom w:val="none" w:sz="0" w:space="0" w:color="auto"/>
        <w:right w:val="none" w:sz="0" w:space="0" w:color="auto"/>
      </w:divBdr>
    </w:div>
    <w:div w:id="114520493">
      <w:bodyDiv w:val="1"/>
      <w:marLeft w:val="0"/>
      <w:marRight w:val="0"/>
      <w:marTop w:val="0"/>
      <w:marBottom w:val="0"/>
      <w:divBdr>
        <w:top w:val="none" w:sz="0" w:space="0" w:color="auto"/>
        <w:left w:val="none" w:sz="0" w:space="0" w:color="auto"/>
        <w:bottom w:val="none" w:sz="0" w:space="0" w:color="auto"/>
        <w:right w:val="none" w:sz="0" w:space="0" w:color="auto"/>
      </w:divBdr>
    </w:div>
    <w:div w:id="145972989">
      <w:bodyDiv w:val="1"/>
      <w:marLeft w:val="0"/>
      <w:marRight w:val="0"/>
      <w:marTop w:val="0"/>
      <w:marBottom w:val="0"/>
      <w:divBdr>
        <w:top w:val="none" w:sz="0" w:space="0" w:color="auto"/>
        <w:left w:val="none" w:sz="0" w:space="0" w:color="auto"/>
        <w:bottom w:val="none" w:sz="0" w:space="0" w:color="auto"/>
        <w:right w:val="none" w:sz="0" w:space="0" w:color="auto"/>
      </w:divBdr>
    </w:div>
    <w:div w:id="200286224">
      <w:bodyDiv w:val="1"/>
      <w:marLeft w:val="0"/>
      <w:marRight w:val="0"/>
      <w:marTop w:val="0"/>
      <w:marBottom w:val="0"/>
      <w:divBdr>
        <w:top w:val="none" w:sz="0" w:space="0" w:color="auto"/>
        <w:left w:val="none" w:sz="0" w:space="0" w:color="auto"/>
        <w:bottom w:val="none" w:sz="0" w:space="0" w:color="auto"/>
        <w:right w:val="none" w:sz="0" w:space="0" w:color="auto"/>
      </w:divBdr>
    </w:div>
    <w:div w:id="232080515">
      <w:bodyDiv w:val="1"/>
      <w:marLeft w:val="0"/>
      <w:marRight w:val="0"/>
      <w:marTop w:val="0"/>
      <w:marBottom w:val="0"/>
      <w:divBdr>
        <w:top w:val="none" w:sz="0" w:space="0" w:color="auto"/>
        <w:left w:val="none" w:sz="0" w:space="0" w:color="auto"/>
        <w:bottom w:val="none" w:sz="0" w:space="0" w:color="auto"/>
        <w:right w:val="none" w:sz="0" w:space="0" w:color="auto"/>
      </w:divBdr>
    </w:div>
    <w:div w:id="263810869">
      <w:bodyDiv w:val="1"/>
      <w:marLeft w:val="0"/>
      <w:marRight w:val="0"/>
      <w:marTop w:val="0"/>
      <w:marBottom w:val="0"/>
      <w:divBdr>
        <w:top w:val="none" w:sz="0" w:space="0" w:color="auto"/>
        <w:left w:val="none" w:sz="0" w:space="0" w:color="auto"/>
        <w:bottom w:val="none" w:sz="0" w:space="0" w:color="auto"/>
        <w:right w:val="none" w:sz="0" w:space="0" w:color="auto"/>
      </w:divBdr>
    </w:div>
    <w:div w:id="283468749">
      <w:bodyDiv w:val="1"/>
      <w:marLeft w:val="0"/>
      <w:marRight w:val="0"/>
      <w:marTop w:val="0"/>
      <w:marBottom w:val="0"/>
      <w:divBdr>
        <w:top w:val="none" w:sz="0" w:space="0" w:color="auto"/>
        <w:left w:val="none" w:sz="0" w:space="0" w:color="auto"/>
        <w:bottom w:val="none" w:sz="0" w:space="0" w:color="auto"/>
        <w:right w:val="none" w:sz="0" w:space="0" w:color="auto"/>
      </w:divBdr>
    </w:div>
    <w:div w:id="309291163">
      <w:bodyDiv w:val="1"/>
      <w:marLeft w:val="0"/>
      <w:marRight w:val="0"/>
      <w:marTop w:val="0"/>
      <w:marBottom w:val="0"/>
      <w:divBdr>
        <w:top w:val="none" w:sz="0" w:space="0" w:color="auto"/>
        <w:left w:val="none" w:sz="0" w:space="0" w:color="auto"/>
        <w:bottom w:val="none" w:sz="0" w:space="0" w:color="auto"/>
        <w:right w:val="none" w:sz="0" w:space="0" w:color="auto"/>
      </w:divBdr>
    </w:div>
    <w:div w:id="473178745">
      <w:bodyDiv w:val="1"/>
      <w:marLeft w:val="0"/>
      <w:marRight w:val="0"/>
      <w:marTop w:val="0"/>
      <w:marBottom w:val="0"/>
      <w:divBdr>
        <w:top w:val="none" w:sz="0" w:space="0" w:color="auto"/>
        <w:left w:val="none" w:sz="0" w:space="0" w:color="auto"/>
        <w:bottom w:val="none" w:sz="0" w:space="0" w:color="auto"/>
        <w:right w:val="none" w:sz="0" w:space="0" w:color="auto"/>
      </w:divBdr>
    </w:div>
    <w:div w:id="498623653">
      <w:bodyDiv w:val="1"/>
      <w:marLeft w:val="0"/>
      <w:marRight w:val="0"/>
      <w:marTop w:val="0"/>
      <w:marBottom w:val="0"/>
      <w:divBdr>
        <w:top w:val="none" w:sz="0" w:space="0" w:color="auto"/>
        <w:left w:val="none" w:sz="0" w:space="0" w:color="auto"/>
        <w:bottom w:val="none" w:sz="0" w:space="0" w:color="auto"/>
        <w:right w:val="none" w:sz="0" w:space="0" w:color="auto"/>
      </w:divBdr>
    </w:div>
    <w:div w:id="553202362">
      <w:bodyDiv w:val="1"/>
      <w:marLeft w:val="0"/>
      <w:marRight w:val="0"/>
      <w:marTop w:val="0"/>
      <w:marBottom w:val="0"/>
      <w:divBdr>
        <w:top w:val="none" w:sz="0" w:space="0" w:color="auto"/>
        <w:left w:val="none" w:sz="0" w:space="0" w:color="auto"/>
        <w:bottom w:val="none" w:sz="0" w:space="0" w:color="auto"/>
        <w:right w:val="none" w:sz="0" w:space="0" w:color="auto"/>
      </w:divBdr>
    </w:div>
    <w:div w:id="630063262">
      <w:bodyDiv w:val="1"/>
      <w:marLeft w:val="0"/>
      <w:marRight w:val="0"/>
      <w:marTop w:val="0"/>
      <w:marBottom w:val="0"/>
      <w:divBdr>
        <w:top w:val="none" w:sz="0" w:space="0" w:color="auto"/>
        <w:left w:val="none" w:sz="0" w:space="0" w:color="auto"/>
        <w:bottom w:val="none" w:sz="0" w:space="0" w:color="auto"/>
        <w:right w:val="none" w:sz="0" w:space="0" w:color="auto"/>
      </w:divBdr>
    </w:div>
    <w:div w:id="699474108">
      <w:bodyDiv w:val="1"/>
      <w:marLeft w:val="0"/>
      <w:marRight w:val="0"/>
      <w:marTop w:val="0"/>
      <w:marBottom w:val="0"/>
      <w:divBdr>
        <w:top w:val="none" w:sz="0" w:space="0" w:color="auto"/>
        <w:left w:val="none" w:sz="0" w:space="0" w:color="auto"/>
        <w:bottom w:val="none" w:sz="0" w:space="0" w:color="auto"/>
        <w:right w:val="none" w:sz="0" w:space="0" w:color="auto"/>
      </w:divBdr>
    </w:div>
    <w:div w:id="755244960">
      <w:bodyDiv w:val="1"/>
      <w:marLeft w:val="0"/>
      <w:marRight w:val="0"/>
      <w:marTop w:val="0"/>
      <w:marBottom w:val="0"/>
      <w:divBdr>
        <w:top w:val="none" w:sz="0" w:space="0" w:color="auto"/>
        <w:left w:val="none" w:sz="0" w:space="0" w:color="auto"/>
        <w:bottom w:val="none" w:sz="0" w:space="0" w:color="auto"/>
        <w:right w:val="none" w:sz="0" w:space="0" w:color="auto"/>
      </w:divBdr>
    </w:div>
    <w:div w:id="759984659">
      <w:bodyDiv w:val="1"/>
      <w:marLeft w:val="0"/>
      <w:marRight w:val="0"/>
      <w:marTop w:val="0"/>
      <w:marBottom w:val="0"/>
      <w:divBdr>
        <w:top w:val="none" w:sz="0" w:space="0" w:color="auto"/>
        <w:left w:val="none" w:sz="0" w:space="0" w:color="auto"/>
        <w:bottom w:val="none" w:sz="0" w:space="0" w:color="auto"/>
        <w:right w:val="none" w:sz="0" w:space="0" w:color="auto"/>
      </w:divBdr>
    </w:div>
    <w:div w:id="1007708837">
      <w:bodyDiv w:val="1"/>
      <w:marLeft w:val="0"/>
      <w:marRight w:val="0"/>
      <w:marTop w:val="0"/>
      <w:marBottom w:val="0"/>
      <w:divBdr>
        <w:top w:val="none" w:sz="0" w:space="0" w:color="auto"/>
        <w:left w:val="none" w:sz="0" w:space="0" w:color="auto"/>
        <w:bottom w:val="none" w:sz="0" w:space="0" w:color="auto"/>
        <w:right w:val="none" w:sz="0" w:space="0" w:color="auto"/>
      </w:divBdr>
    </w:div>
    <w:div w:id="1036278697">
      <w:bodyDiv w:val="1"/>
      <w:marLeft w:val="0"/>
      <w:marRight w:val="0"/>
      <w:marTop w:val="0"/>
      <w:marBottom w:val="0"/>
      <w:divBdr>
        <w:top w:val="none" w:sz="0" w:space="0" w:color="auto"/>
        <w:left w:val="none" w:sz="0" w:space="0" w:color="auto"/>
        <w:bottom w:val="none" w:sz="0" w:space="0" w:color="auto"/>
        <w:right w:val="none" w:sz="0" w:space="0" w:color="auto"/>
      </w:divBdr>
    </w:div>
    <w:div w:id="1099184552">
      <w:bodyDiv w:val="1"/>
      <w:marLeft w:val="0"/>
      <w:marRight w:val="0"/>
      <w:marTop w:val="0"/>
      <w:marBottom w:val="0"/>
      <w:divBdr>
        <w:top w:val="none" w:sz="0" w:space="0" w:color="auto"/>
        <w:left w:val="none" w:sz="0" w:space="0" w:color="auto"/>
        <w:bottom w:val="none" w:sz="0" w:space="0" w:color="auto"/>
        <w:right w:val="none" w:sz="0" w:space="0" w:color="auto"/>
      </w:divBdr>
    </w:div>
    <w:div w:id="1235434788">
      <w:bodyDiv w:val="1"/>
      <w:marLeft w:val="0"/>
      <w:marRight w:val="0"/>
      <w:marTop w:val="0"/>
      <w:marBottom w:val="0"/>
      <w:divBdr>
        <w:top w:val="none" w:sz="0" w:space="0" w:color="auto"/>
        <w:left w:val="none" w:sz="0" w:space="0" w:color="auto"/>
        <w:bottom w:val="none" w:sz="0" w:space="0" w:color="auto"/>
        <w:right w:val="none" w:sz="0" w:space="0" w:color="auto"/>
      </w:divBdr>
    </w:div>
    <w:div w:id="1240169127">
      <w:bodyDiv w:val="1"/>
      <w:marLeft w:val="0"/>
      <w:marRight w:val="0"/>
      <w:marTop w:val="0"/>
      <w:marBottom w:val="0"/>
      <w:divBdr>
        <w:top w:val="none" w:sz="0" w:space="0" w:color="auto"/>
        <w:left w:val="none" w:sz="0" w:space="0" w:color="auto"/>
        <w:bottom w:val="none" w:sz="0" w:space="0" w:color="auto"/>
        <w:right w:val="none" w:sz="0" w:space="0" w:color="auto"/>
      </w:divBdr>
    </w:div>
    <w:div w:id="1302157314">
      <w:bodyDiv w:val="1"/>
      <w:marLeft w:val="0"/>
      <w:marRight w:val="0"/>
      <w:marTop w:val="0"/>
      <w:marBottom w:val="0"/>
      <w:divBdr>
        <w:top w:val="none" w:sz="0" w:space="0" w:color="auto"/>
        <w:left w:val="none" w:sz="0" w:space="0" w:color="auto"/>
        <w:bottom w:val="none" w:sz="0" w:space="0" w:color="auto"/>
        <w:right w:val="none" w:sz="0" w:space="0" w:color="auto"/>
      </w:divBdr>
    </w:div>
    <w:div w:id="1358195681">
      <w:bodyDiv w:val="1"/>
      <w:marLeft w:val="0"/>
      <w:marRight w:val="0"/>
      <w:marTop w:val="0"/>
      <w:marBottom w:val="0"/>
      <w:divBdr>
        <w:top w:val="none" w:sz="0" w:space="0" w:color="auto"/>
        <w:left w:val="none" w:sz="0" w:space="0" w:color="auto"/>
        <w:bottom w:val="none" w:sz="0" w:space="0" w:color="auto"/>
        <w:right w:val="none" w:sz="0" w:space="0" w:color="auto"/>
      </w:divBdr>
    </w:div>
    <w:div w:id="1420980751">
      <w:bodyDiv w:val="1"/>
      <w:marLeft w:val="0"/>
      <w:marRight w:val="0"/>
      <w:marTop w:val="0"/>
      <w:marBottom w:val="0"/>
      <w:divBdr>
        <w:top w:val="none" w:sz="0" w:space="0" w:color="auto"/>
        <w:left w:val="none" w:sz="0" w:space="0" w:color="auto"/>
        <w:bottom w:val="none" w:sz="0" w:space="0" w:color="auto"/>
        <w:right w:val="none" w:sz="0" w:space="0" w:color="auto"/>
      </w:divBdr>
    </w:div>
    <w:div w:id="1604261394">
      <w:bodyDiv w:val="1"/>
      <w:marLeft w:val="0"/>
      <w:marRight w:val="0"/>
      <w:marTop w:val="0"/>
      <w:marBottom w:val="0"/>
      <w:divBdr>
        <w:top w:val="none" w:sz="0" w:space="0" w:color="auto"/>
        <w:left w:val="none" w:sz="0" w:space="0" w:color="auto"/>
        <w:bottom w:val="none" w:sz="0" w:space="0" w:color="auto"/>
        <w:right w:val="none" w:sz="0" w:space="0" w:color="auto"/>
      </w:divBdr>
    </w:div>
    <w:div w:id="1631940909">
      <w:bodyDiv w:val="1"/>
      <w:marLeft w:val="0"/>
      <w:marRight w:val="0"/>
      <w:marTop w:val="0"/>
      <w:marBottom w:val="0"/>
      <w:divBdr>
        <w:top w:val="none" w:sz="0" w:space="0" w:color="auto"/>
        <w:left w:val="none" w:sz="0" w:space="0" w:color="auto"/>
        <w:bottom w:val="none" w:sz="0" w:space="0" w:color="auto"/>
        <w:right w:val="none" w:sz="0" w:space="0" w:color="auto"/>
      </w:divBdr>
    </w:div>
    <w:div w:id="1641299719">
      <w:bodyDiv w:val="1"/>
      <w:marLeft w:val="0"/>
      <w:marRight w:val="0"/>
      <w:marTop w:val="0"/>
      <w:marBottom w:val="0"/>
      <w:divBdr>
        <w:top w:val="none" w:sz="0" w:space="0" w:color="auto"/>
        <w:left w:val="none" w:sz="0" w:space="0" w:color="auto"/>
        <w:bottom w:val="none" w:sz="0" w:space="0" w:color="auto"/>
        <w:right w:val="none" w:sz="0" w:space="0" w:color="auto"/>
      </w:divBdr>
    </w:div>
    <w:div w:id="1845977966">
      <w:bodyDiv w:val="1"/>
      <w:marLeft w:val="0"/>
      <w:marRight w:val="0"/>
      <w:marTop w:val="0"/>
      <w:marBottom w:val="0"/>
      <w:divBdr>
        <w:top w:val="none" w:sz="0" w:space="0" w:color="auto"/>
        <w:left w:val="none" w:sz="0" w:space="0" w:color="auto"/>
        <w:bottom w:val="none" w:sz="0" w:space="0" w:color="auto"/>
        <w:right w:val="none" w:sz="0" w:space="0" w:color="auto"/>
      </w:divBdr>
    </w:div>
    <w:div w:id="1900550545">
      <w:bodyDiv w:val="1"/>
      <w:marLeft w:val="0"/>
      <w:marRight w:val="0"/>
      <w:marTop w:val="0"/>
      <w:marBottom w:val="0"/>
      <w:divBdr>
        <w:top w:val="none" w:sz="0" w:space="0" w:color="auto"/>
        <w:left w:val="none" w:sz="0" w:space="0" w:color="auto"/>
        <w:bottom w:val="none" w:sz="0" w:space="0" w:color="auto"/>
        <w:right w:val="none" w:sz="0" w:space="0" w:color="auto"/>
      </w:divBdr>
    </w:div>
    <w:div w:id="1952275320">
      <w:bodyDiv w:val="1"/>
      <w:marLeft w:val="0"/>
      <w:marRight w:val="0"/>
      <w:marTop w:val="0"/>
      <w:marBottom w:val="0"/>
      <w:divBdr>
        <w:top w:val="none" w:sz="0" w:space="0" w:color="auto"/>
        <w:left w:val="none" w:sz="0" w:space="0" w:color="auto"/>
        <w:bottom w:val="none" w:sz="0" w:space="0" w:color="auto"/>
        <w:right w:val="none" w:sz="0" w:space="0" w:color="auto"/>
      </w:divBdr>
    </w:div>
    <w:div w:id="1971283831">
      <w:bodyDiv w:val="1"/>
      <w:marLeft w:val="0"/>
      <w:marRight w:val="0"/>
      <w:marTop w:val="0"/>
      <w:marBottom w:val="0"/>
      <w:divBdr>
        <w:top w:val="none" w:sz="0" w:space="0" w:color="auto"/>
        <w:left w:val="none" w:sz="0" w:space="0" w:color="auto"/>
        <w:bottom w:val="none" w:sz="0" w:space="0" w:color="auto"/>
        <w:right w:val="none" w:sz="0" w:space="0" w:color="auto"/>
      </w:divBdr>
    </w:div>
    <w:div w:id="1999191768">
      <w:bodyDiv w:val="1"/>
      <w:marLeft w:val="0"/>
      <w:marRight w:val="0"/>
      <w:marTop w:val="0"/>
      <w:marBottom w:val="0"/>
      <w:divBdr>
        <w:top w:val="none" w:sz="0" w:space="0" w:color="auto"/>
        <w:left w:val="none" w:sz="0" w:space="0" w:color="auto"/>
        <w:bottom w:val="none" w:sz="0" w:space="0" w:color="auto"/>
        <w:right w:val="none" w:sz="0" w:space="0" w:color="auto"/>
      </w:divBdr>
    </w:div>
    <w:div w:id="2016493403">
      <w:bodyDiv w:val="1"/>
      <w:marLeft w:val="0"/>
      <w:marRight w:val="0"/>
      <w:marTop w:val="0"/>
      <w:marBottom w:val="0"/>
      <w:divBdr>
        <w:top w:val="none" w:sz="0" w:space="0" w:color="auto"/>
        <w:left w:val="none" w:sz="0" w:space="0" w:color="auto"/>
        <w:bottom w:val="none" w:sz="0" w:space="0" w:color="auto"/>
        <w:right w:val="none" w:sz="0" w:space="0" w:color="auto"/>
      </w:divBdr>
    </w:div>
    <w:div w:id="20380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ning.nsw.gov.au/apartmentdesigngui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den.nsw.gov.au/assets/pdfs/Planning/21-15109-Community-Participation-Plan-2021-Final-version-Sept-2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den.nsw.gov.au/assets/pdfs/Development/Preparing-a-DA/guide-to-preparing-a-DA/Waste-Management-Guidelin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den.nsw.gov.au/assets/pdfs/Development/Preparing-a-DA/guide-to-preparing-a-DA/Waste-Management-Guideline.pdf" TargetMode="External"/><Relationship Id="rId4" Type="http://schemas.openxmlformats.org/officeDocument/2006/relationships/webSettings" Target="webSettings.xml"/><Relationship Id="rId9" Type="http://schemas.openxmlformats.org/officeDocument/2006/relationships/hyperlink" Target="https://www.legislation.nsw.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2456</TotalTime>
  <Pages>8</Pages>
  <Words>3101</Words>
  <Characters>16964</Characters>
  <Application>Microsoft Office Word</Application>
  <DocSecurity>0</DocSecurity>
  <Lines>771</Lines>
  <Paragraphs>233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Poulton</dc:creator>
  <cp:keywords/>
  <dc:description/>
  <cp:lastModifiedBy>Jamie Erken</cp:lastModifiedBy>
  <cp:revision>23</cp:revision>
  <dcterms:created xsi:type="dcterms:W3CDTF">2023-11-21T05:32:00Z</dcterms:created>
  <dcterms:modified xsi:type="dcterms:W3CDTF">2023-11-30T21:30:00Z</dcterms:modified>
</cp:coreProperties>
</file>